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0F1DE" w14:textId="615F09FF" w:rsidR="002F0022" w:rsidRPr="002F0022" w:rsidRDefault="002F0022" w:rsidP="00383F36">
      <w:pPr>
        <w:rPr>
          <w:bCs/>
          <w:sz w:val="24"/>
          <w:szCs w:val="24"/>
        </w:rPr>
      </w:pPr>
      <w:r w:rsidRPr="002F0022">
        <w:rPr>
          <w:bCs/>
          <w:sz w:val="24"/>
          <w:szCs w:val="24"/>
        </w:rPr>
        <w:t>November 14, 2024</w:t>
      </w:r>
    </w:p>
    <w:p w14:paraId="21123125" w14:textId="638C8056" w:rsidR="000E2AFD" w:rsidRDefault="00232223" w:rsidP="006158EA">
      <w:pPr>
        <w:rPr>
          <w:b/>
          <w:sz w:val="28"/>
          <w:szCs w:val="28"/>
        </w:rPr>
      </w:pPr>
      <w:r w:rsidRPr="00232223">
        <w:rPr>
          <w:b/>
          <w:sz w:val="28"/>
          <w:szCs w:val="28"/>
        </w:rPr>
        <w:tab/>
      </w:r>
      <w:r w:rsidRPr="00232223">
        <w:rPr>
          <w:b/>
          <w:sz w:val="28"/>
          <w:szCs w:val="28"/>
        </w:rPr>
        <w:tab/>
      </w:r>
      <w:r w:rsidRPr="00232223">
        <w:rPr>
          <w:b/>
          <w:sz w:val="28"/>
          <w:szCs w:val="28"/>
        </w:rPr>
        <w:tab/>
      </w:r>
      <w:r w:rsidRPr="00232223">
        <w:rPr>
          <w:b/>
          <w:sz w:val="28"/>
          <w:szCs w:val="28"/>
        </w:rPr>
        <w:tab/>
      </w:r>
      <w:r w:rsidRPr="00232223">
        <w:rPr>
          <w:b/>
          <w:sz w:val="28"/>
          <w:szCs w:val="28"/>
        </w:rPr>
        <w:tab/>
      </w:r>
      <w:r w:rsidRPr="00232223">
        <w:rPr>
          <w:b/>
          <w:sz w:val="28"/>
          <w:szCs w:val="28"/>
        </w:rPr>
        <w:tab/>
      </w:r>
      <w:r w:rsidRPr="00232223">
        <w:rPr>
          <w:b/>
          <w:sz w:val="28"/>
          <w:szCs w:val="28"/>
        </w:rPr>
        <w:tab/>
      </w:r>
      <w:r w:rsidRPr="00232223">
        <w:rPr>
          <w:b/>
          <w:sz w:val="28"/>
          <w:szCs w:val="28"/>
        </w:rPr>
        <w:tab/>
      </w:r>
      <w:r w:rsidRPr="00232223">
        <w:rPr>
          <w:b/>
          <w:sz w:val="28"/>
          <w:szCs w:val="28"/>
        </w:rPr>
        <w:tab/>
      </w:r>
    </w:p>
    <w:p w14:paraId="3362DC57" w14:textId="77D1DFDC" w:rsidR="004F03FE" w:rsidRDefault="004F03FE" w:rsidP="006158EA">
      <w:pPr>
        <w:rPr>
          <w:bCs/>
        </w:rPr>
      </w:pPr>
      <w:r w:rsidRPr="00990442">
        <w:rPr>
          <w:bCs/>
          <w:u w:val="single"/>
        </w:rPr>
        <w:t>TO:</w:t>
      </w:r>
      <w:r>
        <w:rPr>
          <w:bCs/>
        </w:rPr>
        <w:tab/>
      </w:r>
      <w:r w:rsidR="00D170EA">
        <w:rPr>
          <w:bCs/>
        </w:rPr>
        <w:tab/>
      </w:r>
      <w:r>
        <w:rPr>
          <w:bCs/>
        </w:rPr>
        <w:t>PTAC/OS/ASPE</w:t>
      </w:r>
    </w:p>
    <w:p w14:paraId="2CEDA7B3" w14:textId="326E5452" w:rsidR="00D170EA" w:rsidRDefault="00D170EA" w:rsidP="002D525A">
      <w:pPr>
        <w:rPr>
          <w:bCs/>
        </w:rPr>
      </w:pPr>
      <w:r w:rsidRPr="00F66A89">
        <w:rPr>
          <w:bCs/>
          <w:u w:val="single"/>
        </w:rPr>
        <w:t>FROM</w:t>
      </w:r>
      <w:r>
        <w:rPr>
          <w:bCs/>
        </w:rPr>
        <w:t xml:space="preserve">:  </w:t>
      </w:r>
      <w:r>
        <w:rPr>
          <w:bCs/>
        </w:rPr>
        <w:tab/>
      </w:r>
      <w:r>
        <w:rPr>
          <w:bCs/>
        </w:rPr>
        <w:tab/>
        <w:t>NHMH – No Health without Mental Health</w:t>
      </w:r>
      <w:r>
        <w:rPr>
          <w:bCs/>
        </w:rPr>
        <w:br/>
      </w:r>
      <w:r>
        <w:rPr>
          <w:bCs/>
        </w:rPr>
        <w:tab/>
      </w:r>
      <w:r>
        <w:rPr>
          <w:bCs/>
        </w:rPr>
        <w:tab/>
        <w:t>American Association on Health &amp; Disability</w:t>
      </w:r>
      <w:r>
        <w:rPr>
          <w:bCs/>
        </w:rPr>
        <w:br/>
      </w:r>
      <w:r>
        <w:rPr>
          <w:bCs/>
        </w:rPr>
        <w:tab/>
      </w:r>
      <w:r>
        <w:rPr>
          <w:bCs/>
        </w:rPr>
        <w:tab/>
        <w:t>Lakeshore Foundation</w:t>
      </w:r>
      <w:r>
        <w:rPr>
          <w:bCs/>
        </w:rPr>
        <w:br/>
      </w:r>
      <w:r>
        <w:rPr>
          <w:bCs/>
        </w:rPr>
        <w:tab/>
      </w:r>
      <w:r>
        <w:rPr>
          <w:bCs/>
        </w:rPr>
        <w:tab/>
        <w:t>Mental Health America</w:t>
      </w:r>
      <w:r w:rsidR="002D525A">
        <w:rPr>
          <w:bCs/>
        </w:rPr>
        <w:br/>
        <w:t xml:space="preserve">                             National Disability Rights Network</w:t>
      </w:r>
      <w:r w:rsidR="00F1045C">
        <w:rPr>
          <w:bCs/>
        </w:rPr>
        <w:br/>
      </w:r>
      <w:r w:rsidR="00F1045C">
        <w:rPr>
          <w:bCs/>
        </w:rPr>
        <w:tab/>
      </w:r>
      <w:r w:rsidR="00F1045C">
        <w:rPr>
          <w:bCs/>
        </w:rPr>
        <w:tab/>
        <w:t>Policy Center for Maternal Mental Health</w:t>
      </w:r>
    </w:p>
    <w:p w14:paraId="3F19FEAF" w14:textId="08B92539" w:rsidR="004F03FE" w:rsidRDefault="004F03FE" w:rsidP="006158EA">
      <w:pPr>
        <w:rPr>
          <w:bCs/>
        </w:rPr>
      </w:pPr>
      <w:r w:rsidRPr="00990442">
        <w:rPr>
          <w:bCs/>
          <w:u w:val="single"/>
        </w:rPr>
        <w:t>RE</w:t>
      </w:r>
      <w:r>
        <w:rPr>
          <w:bCs/>
        </w:rPr>
        <w:t>:</w:t>
      </w:r>
      <w:r w:rsidR="00D170EA">
        <w:rPr>
          <w:bCs/>
        </w:rPr>
        <w:tab/>
      </w:r>
      <w:r w:rsidR="00D170EA">
        <w:rPr>
          <w:bCs/>
        </w:rPr>
        <w:tab/>
      </w:r>
      <w:r>
        <w:rPr>
          <w:bCs/>
        </w:rPr>
        <w:t>RFI on Identifying a Pathway Toward Maximizing Participation in Population-Based</w:t>
      </w:r>
      <w:r>
        <w:rPr>
          <w:bCs/>
        </w:rPr>
        <w:br/>
      </w:r>
      <w:r>
        <w:rPr>
          <w:bCs/>
        </w:rPr>
        <w:tab/>
      </w:r>
      <w:r w:rsidR="00D170EA">
        <w:rPr>
          <w:bCs/>
        </w:rPr>
        <w:tab/>
      </w:r>
      <w:r>
        <w:rPr>
          <w:bCs/>
        </w:rPr>
        <w:t xml:space="preserve">Total Cost of Care </w:t>
      </w:r>
      <w:r w:rsidR="00990442">
        <w:rPr>
          <w:bCs/>
        </w:rPr>
        <w:t>Model</w:t>
      </w:r>
      <w:r w:rsidR="002F0022">
        <w:rPr>
          <w:bCs/>
        </w:rPr>
        <w:t>s</w:t>
      </w:r>
    </w:p>
    <w:p w14:paraId="310308ED" w14:textId="7BB6671F" w:rsidR="000466F9" w:rsidRDefault="000466F9" w:rsidP="00F95065">
      <w:pPr>
        <w:rPr>
          <w:bCs/>
        </w:rPr>
      </w:pPr>
    </w:p>
    <w:p w14:paraId="5787BDFE" w14:textId="67837D26" w:rsidR="00232223" w:rsidRDefault="00232223" w:rsidP="00232223">
      <w:r w:rsidRPr="00901DAD">
        <w:rPr>
          <w:b/>
          <w:bCs/>
          <w:u w:val="single"/>
        </w:rPr>
        <w:t>I</w:t>
      </w:r>
      <w:r>
        <w:rPr>
          <w:u w:val="single"/>
        </w:rPr>
        <w:t xml:space="preserve"> </w:t>
      </w:r>
      <w:r w:rsidR="00492FD5">
        <w:rPr>
          <w:b/>
          <w:bCs/>
          <w:u w:val="single"/>
        </w:rPr>
        <w:t xml:space="preserve">MAIN </w:t>
      </w:r>
      <w:r w:rsidR="000E2AFD">
        <w:rPr>
          <w:b/>
          <w:bCs/>
          <w:u w:val="single"/>
        </w:rPr>
        <w:t>MESSAGE:</w:t>
      </w:r>
    </w:p>
    <w:p w14:paraId="0D909A3C" w14:textId="7095DD91" w:rsidR="00232223" w:rsidRPr="007145D9" w:rsidRDefault="00232223" w:rsidP="00232223">
      <w:pPr>
        <w:rPr>
          <w:b/>
          <w:bCs/>
        </w:rPr>
      </w:pPr>
      <w:r w:rsidRPr="007145D9">
        <w:rPr>
          <w:b/>
          <w:bCs/>
        </w:rPr>
        <w:t xml:space="preserve">The integration of behavioral health (mental health and substance use) services in primary care must be an essential foundational component of a high-quality accountable care relationship, including in population-based total cost of care (PB-TCOC) models.  (Bipartisan Policy Center, 2021).  The quality and </w:t>
      </w:r>
      <w:r w:rsidR="00EA0F27">
        <w:rPr>
          <w:b/>
          <w:bCs/>
        </w:rPr>
        <w:t>reduced c</w:t>
      </w:r>
      <w:r w:rsidRPr="007145D9">
        <w:rPr>
          <w:b/>
          <w:bCs/>
        </w:rPr>
        <w:t xml:space="preserve">ost benefits of integrated care are well documented (AHRQ, 2023). </w:t>
      </w:r>
      <w:r w:rsidR="00492FD5">
        <w:rPr>
          <w:b/>
          <w:bCs/>
        </w:rPr>
        <w:t xml:space="preserve"> Value-based payment models have structural elements that make them ideal for integrated physical-behavioral health care</w:t>
      </w:r>
      <w:r w:rsidR="00EA0F27">
        <w:rPr>
          <w:b/>
          <w:bCs/>
        </w:rPr>
        <w:t xml:space="preserve"> delivery</w:t>
      </w:r>
      <w:r w:rsidR="00492FD5">
        <w:rPr>
          <w:b/>
          <w:bCs/>
        </w:rPr>
        <w:t>.  Existing payment mechanisms in Medicaid Managed Care Organizations, Medicare Accountable Care Organizations and Medicare Advantage plans</w:t>
      </w:r>
      <w:r w:rsidR="00FD2D35">
        <w:rPr>
          <w:b/>
          <w:bCs/>
        </w:rPr>
        <w:t xml:space="preserve"> have well-defined quality metrics, delivery standards, and payment methodologies through which integrated care ban be applied, enforced and incentivized.  What is needed is financial incentives and </w:t>
      </w:r>
      <w:r w:rsidR="00EA0F27">
        <w:rPr>
          <w:b/>
          <w:bCs/>
        </w:rPr>
        <w:t xml:space="preserve">requiring </w:t>
      </w:r>
      <w:r w:rsidR="00FD2D35">
        <w:rPr>
          <w:b/>
          <w:bCs/>
        </w:rPr>
        <w:t>accountability in order to build integrated care delivery into existing value-based payment models (BPC).</w:t>
      </w:r>
    </w:p>
    <w:p w14:paraId="7F79A4EB" w14:textId="17455FB6" w:rsidR="00232223" w:rsidRPr="0020792E" w:rsidRDefault="00492FD5" w:rsidP="00232223">
      <w:r>
        <w:t>T</w:t>
      </w:r>
      <w:r w:rsidR="00232223" w:rsidRPr="0020792E">
        <w:t xml:space="preserve">he October 2024 PTAC/OS/ASPE Request for Information (RFI) re “Identifying A Pathway Toward Maximizing Participation &lt;of all Medicare beneficiaries with Parts A and B&gt; in Population-Based Total Cost of Care Models” did </w:t>
      </w:r>
      <w:r w:rsidR="00232223" w:rsidRPr="0020792E">
        <w:rPr>
          <w:u w:val="single"/>
        </w:rPr>
        <w:t xml:space="preserve">not </w:t>
      </w:r>
      <w:r w:rsidR="00232223" w:rsidRPr="0020792E">
        <w:t>include any reference to the role of the integration of behavioral health and primary care in those Medicare beneficiary accountable care relationships aimed at quality and total cost reduction.</w:t>
      </w:r>
    </w:p>
    <w:p w14:paraId="78B8C341" w14:textId="234BEEAC" w:rsidR="00232223" w:rsidRPr="0020792E" w:rsidRDefault="00225D47" w:rsidP="00232223">
      <w:r>
        <w:t>Yet d</w:t>
      </w:r>
      <w:r w:rsidR="00232223" w:rsidRPr="0020792E">
        <w:t>ata and studies show that CMS will not achieve accountable quality care, as evidenced by improved health outcomes and reduced cost, for the most seriously ill, highest-cost, and chronically ill patients without inclusion of integrated medical-behavioral care (BPC; HHS/SAMHSA/CMS; NASEM 2022; Milliman 2018).</w:t>
      </w:r>
    </w:p>
    <w:p w14:paraId="6327866D" w14:textId="605ADFCC" w:rsidR="00232223" w:rsidRDefault="00232223" w:rsidP="00232223">
      <w:pPr>
        <w:rPr>
          <w:b/>
          <w:bCs/>
        </w:rPr>
      </w:pPr>
      <w:r w:rsidRPr="0020792E">
        <w:rPr>
          <w:bCs/>
        </w:rPr>
        <w:t>N</w:t>
      </w:r>
      <w:r w:rsidRPr="00963385">
        <w:rPr>
          <w:bCs/>
        </w:rPr>
        <w:t xml:space="preserve">early </w:t>
      </w:r>
      <w:r>
        <w:rPr>
          <w:bCs/>
        </w:rPr>
        <w:t>30%</w:t>
      </w:r>
      <w:r w:rsidRPr="00963385">
        <w:rPr>
          <w:bCs/>
        </w:rPr>
        <w:t xml:space="preserve"> of Americans</w:t>
      </w:r>
      <w:r>
        <w:rPr>
          <w:bCs/>
        </w:rPr>
        <w:t xml:space="preserve"> (</w:t>
      </w:r>
      <w:r w:rsidRPr="00963385">
        <w:rPr>
          <w:bCs/>
        </w:rPr>
        <w:t>55 millio</w:t>
      </w:r>
      <w:r>
        <w:rPr>
          <w:bCs/>
        </w:rPr>
        <w:t>n)</w:t>
      </w:r>
      <w:r w:rsidRPr="00963385">
        <w:rPr>
          <w:bCs/>
        </w:rPr>
        <w:t xml:space="preserve"> suffer from some behavioral health condition and half of them receive no care at all (HHS/SAMHSA). At the same time, </w:t>
      </w:r>
      <w:r>
        <w:rPr>
          <w:bCs/>
        </w:rPr>
        <w:t xml:space="preserve">for those </w:t>
      </w:r>
      <w:r w:rsidRPr="00963385">
        <w:rPr>
          <w:bCs/>
        </w:rPr>
        <w:t>patients w</w:t>
      </w:r>
      <w:r>
        <w:rPr>
          <w:bCs/>
        </w:rPr>
        <w:t xml:space="preserve">ith </w:t>
      </w:r>
      <w:r w:rsidRPr="00963385">
        <w:rPr>
          <w:bCs/>
        </w:rPr>
        <w:t>chronic medical conditions (</w:t>
      </w:r>
      <w:r w:rsidR="00901DAD">
        <w:rPr>
          <w:bCs/>
        </w:rPr>
        <w:t xml:space="preserve">e.g. </w:t>
      </w:r>
      <w:r w:rsidRPr="00963385">
        <w:rPr>
          <w:bCs/>
        </w:rPr>
        <w:t xml:space="preserve">diabetes, cancer, heart disease) </w:t>
      </w:r>
      <w:r>
        <w:rPr>
          <w:bCs/>
        </w:rPr>
        <w:t>who</w:t>
      </w:r>
      <w:r w:rsidRPr="00963385">
        <w:rPr>
          <w:bCs/>
        </w:rPr>
        <w:t xml:space="preserve"> also have a mental health issue, </w:t>
      </w:r>
      <w:r>
        <w:rPr>
          <w:bCs/>
        </w:rPr>
        <w:t xml:space="preserve">their cost of care, across Medicare, Medicaid and commercial insurers, is </w:t>
      </w:r>
      <w:r w:rsidRPr="0050587A">
        <w:rPr>
          <w:bCs/>
          <w:i/>
          <w:iCs/>
        </w:rPr>
        <w:t>doubled</w:t>
      </w:r>
      <w:r w:rsidRPr="00963385">
        <w:rPr>
          <w:bCs/>
        </w:rPr>
        <w:t xml:space="preserve"> (Milliman</w:t>
      </w:r>
      <w:r>
        <w:rPr>
          <w:b/>
          <w:bCs/>
        </w:rPr>
        <w:t xml:space="preserve"> </w:t>
      </w:r>
      <w:r w:rsidRPr="0020792E">
        <w:t>2014, 2018</w:t>
      </w:r>
      <w:r w:rsidRPr="00963385">
        <w:rPr>
          <w:bCs/>
        </w:rPr>
        <w:t xml:space="preserve">). </w:t>
      </w:r>
      <w:r w:rsidRPr="00D317D1">
        <w:rPr>
          <w:bCs/>
        </w:rPr>
        <w:t xml:space="preserve"> For</w:t>
      </w:r>
      <w:r>
        <w:rPr>
          <w:bCs/>
        </w:rPr>
        <w:t xml:space="preserve"> </w:t>
      </w:r>
      <w:r w:rsidRPr="00963385">
        <w:rPr>
          <w:bCs/>
        </w:rPr>
        <w:t xml:space="preserve">patients with </w:t>
      </w:r>
      <w:r w:rsidRPr="00963385">
        <w:rPr>
          <w:bCs/>
        </w:rPr>
        <w:lastRenderedPageBreak/>
        <w:t xml:space="preserve">a chronic medical </w:t>
      </w:r>
      <w:r>
        <w:rPr>
          <w:bCs/>
        </w:rPr>
        <w:t>and behavioral condition AND a</w:t>
      </w:r>
      <w:r w:rsidRPr="00963385">
        <w:rPr>
          <w:bCs/>
        </w:rPr>
        <w:t xml:space="preserve"> substance use condition</w:t>
      </w:r>
      <w:r>
        <w:rPr>
          <w:bCs/>
        </w:rPr>
        <w:t xml:space="preserve">, their total cost of care is </w:t>
      </w:r>
      <w:r w:rsidRPr="0050587A">
        <w:rPr>
          <w:bCs/>
          <w:i/>
          <w:iCs/>
        </w:rPr>
        <w:t>quadrupled</w:t>
      </w:r>
      <w:r w:rsidRPr="00963385">
        <w:rPr>
          <w:bCs/>
        </w:rPr>
        <w:t xml:space="preserve"> (Ibid). </w:t>
      </w:r>
      <w:r w:rsidRPr="0020792E">
        <w:t>This leads to over $400 billion in additional societal social and economic costs.</w:t>
      </w:r>
      <w:r w:rsidRPr="00963385">
        <w:rPr>
          <w:bCs/>
        </w:rPr>
        <w:t xml:space="preserve"> The opioid epidemic and COVIC pandemic </w:t>
      </w:r>
      <w:r w:rsidRPr="0020792E">
        <w:t>have</w:t>
      </w:r>
      <w:r>
        <w:rPr>
          <w:b/>
          <w:bCs/>
        </w:rPr>
        <w:t xml:space="preserve"> </w:t>
      </w:r>
      <w:r>
        <w:rPr>
          <w:bCs/>
        </w:rPr>
        <w:t>intensified</w:t>
      </w:r>
      <w:r w:rsidRPr="00963385">
        <w:rPr>
          <w:bCs/>
        </w:rPr>
        <w:t xml:space="preserve"> these </w:t>
      </w:r>
      <w:r>
        <w:rPr>
          <w:bCs/>
        </w:rPr>
        <w:t xml:space="preserve">stark </w:t>
      </w:r>
      <w:r w:rsidRPr="00963385">
        <w:rPr>
          <w:bCs/>
        </w:rPr>
        <w:t>realit</w:t>
      </w:r>
      <w:r>
        <w:rPr>
          <w:bCs/>
        </w:rPr>
        <w:t>ies creating</w:t>
      </w:r>
      <w:r w:rsidRPr="00963385">
        <w:rPr>
          <w:bCs/>
        </w:rPr>
        <w:t xml:space="preserve"> </w:t>
      </w:r>
      <w:r>
        <w:rPr>
          <w:bCs/>
        </w:rPr>
        <w:t xml:space="preserve">the </w:t>
      </w:r>
      <w:r w:rsidRPr="00963385">
        <w:rPr>
          <w:bCs/>
        </w:rPr>
        <w:t>national mental health crisi</w:t>
      </w:r>
      <w:r>
        <w:rPr>
          <w:bCs/>
        </w:rPr>
        <w:t xml:space="preserve">s we now confront.  </w:t>
      </w:r>
    </w:p>
    <w:p w14:paraId="7E5D0080" w14:textId="3526494F" w:rsidR="00232223" w:rsidRPr="000D31DE" w:rsidRDefault="0043738A" w:rsidP="00232223">
      <w:pPr>
        <w:rPr>
          <w:b/>
          <w:bCs/>
        </w:rPr>
      </w:pPr>
      <w:r>
        <w:t>T</w:t>
      </w:r>
      <w:r w:rsidR="00232223" w:rsidRPr="007145D9">
        <w:t>he federal government has in the past three months stated that</w:t>
      </w:r>
      <w:r w:rsidR="00232223">
        <w:rPr>
          <w:b/>
          <w:bCs/>
        </w:rPr>
        <w:t xml:space="preserve"> </w:t>
      </w:r>
      <w:r w:rsidR="00232223" w:rsidRPr="007145D9">
        <w:t>integrated care ‘is the future of healthcare.’</w:t>
      </w:r>
      <w:r w:rsidR="00232223">
        <w:rPr>
          <w:b/>
          <w:bCs/>
        </w:rPr>
        <w:t xml:space="preserve">  </w:t>
      </w:r>
      <w:r w:rsidR="00232223">
        <w:rPr>
          <w:bCs/>
        </w:rPr>
        <w:t>The Department of Health &amp; Human Services stated in August 2024 that ‘integrated care is now the future of health care</w:t>
      </w:r>
      <w:r w:rsidR="00232223">
        <w:rPr>
          <w:b/>
          <w:bCs/>
        </w:rPr>
        <w:t xml:space="preserve">’ </w:t>
      </w:r>
      <w:r w:rsidR="00232223" w:rsidRPr="007145D9">
        <w:t>and specifically that:  ‘The</w:t>
      </w:r>
      <w:r w:rsidR="00232223" w:rsidRPr="00744C7E">
        <w:rPr>
          <w:b/>
        </w:rPr>
        <w:t xml:space="preserve"> </w:t>
      </w:r>
      <w:r w:rsidR="00232223" w:rsidRPr="007145D9">
        <w:rPr>
          <w:bCs/>
        </w:rPr>
        <w:t>integration of primary and behavioral health care is considered the future of health care because it uses systematic, evidence-based approaches to improve the delivery of person-centered comprehensive care; increases access to preventive care and screenings; coordinates care to address mental, physical, social, and substance use related needs; and reduces overall costs of care for patients, providers, and health care systems.’</w:t>
      </w:r>
      <w:r w:rsidR="00232223">
        <w:rPr>
          <w:b/>
        </w:rPr>
        <w:t xml:space="preserve">    </w:t>
      </w:r>
      <w:hyperlink r:id="rId8" w:history="1">
        <w:r w:rsidR="00232223" w:rsidRPr="00156CD6">
          <w:rPr>
            <w:rStyle w:val="Hyperlink"/>
          </w:rPr>
          <w:t>https://www.samhsa.gov/newsroom/press-announcements/20240829/biden-harris-administration-awards-81-point-3-million-funding-further-advance-presidents-unity-agenda</w:t>
        </w:r>
      </w:hyperlink>
    </w:p>
    <w:p w14:paraId="50E926D6" w14:textId="025CF89A" w:rsidR="00232223" w:rsidRDefault="00232223" w:rsidP="00232223">
      <w:pPr>
        <w:rPr>
          <w:b/>
          <w:bCs/>
        </w:rPr>
      </w:pPr>
    </w:p>
    <w:p w14:paraId="1B83AECB" w14:textId="29DF0C3F" w:rsidR="00232223" w:rsidRPr="00F65BBD" w:rsidRDefault="00232223" w:rsidP="00232223">
      <w:pPr>
        <w:rPr>
          <w:u w:val="single"/>
        </w:rPr>
      </w:pPr>
      <w:r w:rsidRPr="00D317D1">
        <w:rPr>
          <w:b/>
          <w:bCs/>
          <w:u w:val="single"/>
        </w:rPr>
        <w:t>II RESPONSES TO</w:t>
      </w:r>
      <w:r w:rsidR="00990442">
        <w:rPr>
          <w:b/>
          <w:bCs/>
          <w:u w:val="single"/>
        </w:rPr>
        <w:t xml:space="preserve"> </w:t>
      </w:r>
      <w:r w:rsidRPr="00D317D1">
        <w:rPr>
          <w:b/>
          <w:bCs/>
          <w:u w:val="single"/>
        </w:rPr>
        <w:t>RFI</w:t>
      </w:r>
      <w:r w:rsidR="000E2AFD">
        <w:rPr>
          <w:b/>
          <w:bCs/>
          <w:u w:val="single"/>
        </w:rPr>
        <w:t>’s</w:t>
      </w:r>
      <w:r w:rsidRPr="00D317D1">
        <w:rPr>
          <w:b/>
          <w:bCs/>
          <w:u w:val="single"/>
        </w:rPr>
        <w:t xml:space="preserve"> QUESTIONS TO THE PUBLIC</w:t>
      </w:r>
      <w:r w:rsidRPr="00F65BBD">
        <w:rPr>
          <w:u w:val="single"/>
        </w:rPr>
        <w:t>:</w:t>
      </w:r>
    </w:p>
    <w:p w14:paraId="25D56D6D" w14:textId="4A706C23" w:rsidR="00232223" w:rsidRPr="00D317D1" w:rsidRDefault="00232223" w:rsidP="00232223">
      <w:r w:rsidRPr="00D317D1">
        <w:t xml:space="preserve">Our feedback responds to the numbered questions </w:t>
      </w:r>
      <w:r w:rsidR="00901DAD">
        <w:t>listed</w:t>
      </w:r>
      <w:r w:rsidRPr="00D317D1">
        <w:t xml:space="preserve"> in the RFI: </w:t>
      </w:r>
    </w:p>
    <w:p w14:paraId="07D3B39C" w14:textId="5724754D" w:rsidR="00232223" w:rsidRDefault="00232223" w:rsidP="00232223">
      <w:pPr>
        <w:rPr>
          <w:b/>
          <w:bCs/>
        </w:rPr>
      </w:pPr>
      <w:r>
        <w:rPr>
          <w:bCs/>
        </w:rPr>
        <w:t>1)a)</w:t>
      </w:r>
      <w:r>
        <w:rPr>
          <w:b/>
          <w:bCs/>
        </w:rPr>
        <w:t>:</w:t>
      </w:r>
      <w:r>
        <w:rPr>
          <w:bCs/>
        </w:rPr>
        <w:t xml:space="preserve">  </w:t>
      </w:r>
      <w:r w:rsidRPr="00D317D1">
        <w:rPr>
          <w:u w:val="single"/>
        </w:rPr>
        <w:t>G</w:t>
      </w:r>
      <w:r w:rsidRPr="00022D81">
        <w:rPr>
          <w:bCs/>
          <w:u w:val="single"/>
        </w:rPr>
        <w:t xml:space="preserve">oals of a </w:t>
      </w:r>
      <w:r w:rsidRPr="00D317D1">
        <w:rPr>
          <w:u w:val="single"/>
        </w:rPr>
        <w:t>Medicare Quality</w:t>
      </w:r>
      <w:r w:rsidRPr="00022D81">
        <w:rPr>
          <w:bCs/>
          <w:u w:val="single"/>
        </w:rPr>
        <w:t xml:space="preserve"> </w:t>
      </w:r>
      <w:r w:rsidRPr="00D317D1">
        <w:rPr>
          <w:u w:val="single"/>
        </w:rPr>
        <w:t>PB-TCOC Accountable</w:t>
      </w:r>
      <w:r w:rsidRPr="00022D81">
        <w:rPr>
          <w:bCs/>
          <w:u w:val="single"/>
        </w:rPr>
        <w:t xml:space="preserve"> </w:t>
      </w:r>
      <w:r w:rsidRPr="00D317D1">
        <w:rPr>
          <w:u w:val="single"/>
        </w:rPr>
        <w:t>C</w:t>
      </w:r>
      <w:r w:rsidRPr="00022D81">
        <w:rPr>
          <w:bCs/>
          <w:u w:val="single"/>
        </w:rPr>
        <w:t>are</w:t>
      </w:r>
      <w:r>
        <w:rPr>
          <w:b/>
          <w:bCs/>
          <w:u w:val="single"/>
        </w:rPr>
        <w:t xml:space="preserve"> </w:t>
      </w:r>
      <w:r w:rsidRPr="00D317D1">
        <w:rPr>
          <w:u w:val="single"/>
        </w:rPr>
        <w:t>Relationship:</w:t>
      </w:r>
      <w:r>
        <w:rPr>
          <w:b/>
          <w:bCs/>
          <w:u w:val="single"/>
        </w:rPr>
        <w:br/>
      </w:r>
      <w:r>
        <w:rPr>
          <w:b/>
          <w:bCs/>
        </w:rPr>
        <w:br/>
        <w:t xml:space="preserve">-- </w:t>
      </w:r>
      <w:r w:rsidR="00CC18FE" w:rsidRPr="00CC18FE">
        <w:t>c</w:t>
      </w:r>
      <w:r w:rsidRPr="00CC18FE">
        <w:t>omprehensive, continuous, coordinated whole-person care</w:t>
      </w:r>
      <w:r w:rsidRPr="00CC18FE">
        <w:br/>
        <w:t>--</w:t>
      </w:r>
      <w:r>
        <w:rPr>
          <w:b/>
          <w:bCs/>
        </w:rPr>
        <w:t xml:space="preserve"> </w:t>
      </w:r>
      <w:r w:rsidRPr="00CC18FE">
        <w:t>use of a</w:t>
      </w:r>
      <w:r>
        <w:rPr>
          <w:b/>
          <w:bCs/>
        </w:rPr>
        <w:t xml:space="preserve"> </w:t>
      </w:r>
      <w:r>
        <w:rPr>
          <w:bCs/>
        </w:rPr>
        <w:t xml:space="preserve">collaborative, communicating, specially trained </w:t>
      </w:r>
      <w:r w:rsidRPr="00CC18FE">
        <w:t>integrated</w:t>
      </w:r>
      <w:r>
        <w:rPr>
          <w:b/>
          <w:bCs/>
        </w:rPr>
        <w:t xml:space="preserve"> </w:t>
      </w:r>
      <w:r>
        <w:rPr>
          <w:bCs/>
        </w:rPr>
        <w:t xml:space="preserve">care </w:t>
      </w:r>
      <w:r w:rsidRPr="00CC18FE">
        <w:t>team</w:t>
      </w:r>
      <w:r>
        <w:rPr>
          <w:b/>
          <w:bCs/>
        </w:rPr>
        <w:br/>
        <w:t xml:space="preserve">-- </w:t>
      </w:r>
      <w:r w:rsidRPr="00CC18FE">
        <w:t>patient at center of care team and actively engaged</w:t>
      </w:r>
      <w:r w:rsidR="00CC18FE">
        <w:rPr>
          <w:bCs/>
        </w:rPr>
        <w:t xml:space="preserve"> in </w:t>
      </w:r>
      <w:r w:rsidR="00AE3AC4">
        <w:rPr>
          <w:bCs/>
        </w:rPr>
        <w:t xml:space="preserve">the </w:t>
      </w:r>
      <w:r w:rsidR="00CC18FE">
        <w:rPr>
          <w:bCs/>
        </w:rPr>
        <w:t xml:space="preserve">co-creation of </w:t>
      </w:r>
      <w:r w:rsidR="00AE3AC4">
        <w:rPr>
          <w:bCs/>
        </w:rPr>
        <w:t xml:space="preserve">care </w:t>
      </w:r>
      <w:r w:rsidR="00CC18FE">
        <w:rPr>
          <w:bCs/>
        </w:rPr>
        <w:t>goals</w:t>
      </w:r>
      <w:r w:rsidR="00CC18FE">
        <w:rPr>
          <w:bCs/>
        </w:rPr>
        <w:br/>
        <w:t xml:space="preserve">    and treatment plans</w:t>
      </w:r>
      <w:r>
        <w:rPr>
          <w:bCs/>
        </w:rPr>
        <w:br/>
      </w:r>
      <w:r>
        <w:rPr>
          <w:b/>
          <w:bCs/>
        </w:rPr>
        <w:t xml:space="preserve">-- </w:t>
      </w:r>
      <w:r w:rsidRPr="00CC18FE">
        <w:t>continuous</w:t>
      </w:r>
      <w:r>
        <w:rPr>
          <w:bCs/>
        </w:rPr>
        <w:t xml:space="preserve"> care with stress on early </w:t>
      </w:r>
      <w:r>
        <w:rPr>
          <w:b/>
          <w:bCs/>
        </w:rPr>
        <w:t>i</w:t>
      </w:r>
      <w:r w:rsidRPr="00CC18FE">
        <w:t>dentification</w:t>
      </w:r>
      <w:r>
        <w:rPr>
          <w:bCs/>
        </w:rPr>
        <w:t xml:space="preserve">, assessment, </w:t>
      </w:r>
      <w:r w:rsidRPr="00CC18FE">
        <w:t>treatment and</w:t>
      </w:r>
      <w:r>
        <w:rPr>
          <w:bCs/>
        </w:rPr>
        <w:t xml:space="preserve"> </w:t>
      </w:r>
      <w:r>
        <w:rPr>
          <w:b/>
          <w:bCs/>
        </w:rPr>
        <w:t xml:space="preserve"> </w:t>
      </w:r>
      <w:r>
        <w:rPr>
          <w:b/>
          <w:bCs/>
        </w:rPr>
        <w:br/>
        <w:t xml:space="preserve">    </w:t>
      </w:r>
      <w:r>
        <w:rPr>
          <w:bCs/>
        </w:rPr>
        <w:t>prevention</w:t>
      </w:r>
      <w:r>
        <w:rPr>
          <w:bCs/>
        </w:rPr>
        <w:br/>
      </w:r>
      <w:r>
        <w:rPr>
          <w:b/>
          <w:bCs/>
        </w:rPr>
        <w:t xml:space="preserve">-- </w:t>
      </w:r>
      <w:r w:rsidR="00AE3AC4">
        <w:t>longitudinal t</w:t>
      </w:r>
      <w:r>
        <w:rPr>
          <w:bCs/>
        </w:rPr>
        <w:t>rusted patient-provider</w:t>
      </w:r>
      <w:r>
        <w:rPr>
          <w:b/>
          <w:bCs/>
        </w:rPr>
        <w:t>-</w:t>
      </w:r>
      <w:r w:rsidRPr="00CC18FE">
        <w:t>team</w:t>
      </w:r>
      <w:r>
        <w:rPr>
          <w:bCs/>
        </w:rPr>
        <w:t xml:space="preserve"> therapeutic relationship</w:t>
      </w:r>
      <w:r>
        <w:rPr>
          <w:b/>
          <w:bCs/>
        </w:rPr>
        <w:br/>
        <w:t xml:space="preserve">-- </w:t>
      </w:r>
      <w:r w:rsidRPr="00CC18FE">
        <w:t>w</w:t>
      </w:r>
      <w:r w:rsidRPr="00CC18FE">
        <w:rPr>
          <w:bCs/>
        </w:rPr>
        <w:t>i</w:t>
      </w:r>
      <w:r>
        <w:rPr>
          <w:bCs/>
        </w:rPr>
        <w:t>de reach through pop</w:t>
      </w:r>
      <w:r w:rsidRPr="00CC18FE">
        <w:t>ulation</w:t>
      </w:r>
      <w:r>
        <w:rPr>
          <w:bCs/>
        </w:rPr>
        <w:t>-based patient panels</w:t>
      </w:r>
      <w:r>
        <w:rPr>
          <w:b/>
          <w:bCs/>
        </w:rPr>
        <w:br/>
        <w:t xml:space="preserve">-- </w:t>
      </w:r>
      <w:r w:rsidRPr="00CC18FE">
        <w:t>delivery of evidenced</w:t>
      </w:r>
      <w:r>
        <w:rPr>
          <w:bCs/>
        </w:rPr>
        <w:t xml:space="preserve">-based care, </w:t>
      </w:r>
      <w:r w:rsidRPr="00CC18FE">
        <w:t>in case of integrated care: primary care</w:t>
      </w:r>
      <w:r>
        <w:rPr>
          <w:b/>
          <w:bCs/>
        </w:rPr>
        <w:t xml:space="preserve"> </w:t>
      </w:r>
      <w:r>
        <w:rPr>
          <w:b/>
          <w:bCs/>
        </w:rPr>
        <w:br/>
      </w:r>
      <w:r w:rsidRPr="00CC18FE">
        <w:t xml:space="preserve">    behavioral health model (PCBH</w:t>
      </w:r>
      <w:r w:rsidR="00AE3AC4">
        <w:t>);</w:t>
      </w:r>
      <w:r w:rsidRPr="00CC18FE">
        <w:t xml:space="preserve"> collaborative care model (CC); and short brief </w:t>
      </w:r>
      <w:r w:rsidRPr="00CC18FE">
        <w:br/>
        <w:t xml:space="preserve">    intervention and referral to care model (SBIRT)</w:t>
      </w:r>
      <w:r>
        <w:rPr>
          <w:bCs/>
        </w:rPr>
        <w:t xml:space="preserve"> </w:t>
      </w:r>
      <w:r w:rsidR="00AE3AC4">
        <w:rPr>
          <w:bCs/>
        </w:rPr>
        <w:t>and</w:t>
      </w:r>
      <w:r>
        <w:rPr>
          <w:bCs/>
        </w:rPr>
        <w:br/>
      </w:r>
      <w:r>
        <w:rPr>
          <w:b/>
          <w:bCs/>
        </w:rPr>
        <w:t xml:space="preserve">-- </w:t>
      </w:r>
      <w:r w:rsidRPr="00CC18FE">
        <w:t>h</w:t>
      </w:r>
      <w:r>
        <w:rPr>
          <w:bCs/>
        </w:rPr>
        <w:t xml:space="preserve">igh level of patient </w:t>
      </w:r>
      <w:r w:rsidRPr="00CC18FE">
        <w:t>shared-decision-making and</w:t>
      </w:r>
      <w:r>
        <w:rPr>
          <w:b/>
          <w:bCs/>
        </w:rPr>
        <w:t xml:space="preserve"> </w:t>
      </w:r>
      <w:r>
        <w:rPr>
          <w:bCs/>
        </w:rPr>
        <w:t xml:space="preserve">engagement </w:t>
      </w:r>
      <w:r w:rsidRPr="00CC18FE">
        <w:t>throughout care</w:t>
      </w:r>
      <w:r w:rsidR="00CC18FE" w:rsidRPr="00CC18FE">
        <w:t>.</w:t>
      </w:r>
    </w:p>
    <w:p w14:paraId="5F9E264F" w14:textId="77777777" w:rsidR="00232223" w:rsidRPr="00941F75" w:rsidRDefault="00232223" w:rsidP="00232223">
      <w:pPr>
        <w:rPr>
          <w:b/>
          <w:bCs/>
          <w:u w:val="single"/>
        </w:rPr>
      </w:pPr>
      <w:r>
        <w:rPr>
          <w:b/>
          <w:bCs/>
        </w:rPr>
        <w:br/>
      </w:r>
      <w:r>
        <w:rPr>
          <w:bCs/>
        </w:rPr>
        <w:t>1)b</w:t>
      </w:r>
      <w:r>
        <w:rPr>
          <w:b/>
          <w:bCs/>
        </w:rPr>
        <w:t xml:space="preserve">):  </w:t>
      </w:r>
      <w:r w:rsidRPr="00CC18FE">
        <w:rPr>
          <w:u w:val="single"/>
        </w:rPr>
        <w:t>Kinds of Models Best Able to Support Accountable Care Relationships:</w:t>
      </w:r>
    </w:p>
    <w:p w14:paraId="51309F35" w14:textId="1DF7CCFC" w:rsidR="00232223" w:rsidRDefault="00232223" w:rsidP="00232223">
      <w:pPr>
        <w:rPr>
          <w:b/>
          <w:bCs/>
        </w:rPr>
      </w:pPr>
      <w:r>
        <w:rPr>
          <w:bCs/>
        </w:rPr>
        <w:t xml:space="preserve">Models </w:t>
      </w:r>
      <w:r w:rsidRPr="00CC18FE">
        <w:t>that</w:t>
      </w:r>
      <w:r>
        <w:rPr>
          <w:bCs/>
        </w:rPr>
        <w:t xml:space="preserve"> allow for financial flexibility and incentives to practices</w:t>
      </w:r>
      <w:r w:rsidR="00AE3AC4">
        <w:rPr>
          <w:bCs/>
        </w:rPr>
        <w:t>/health systems</w:t>
      </w:r>
      <w:r w:rsidRPr="00CC18FE">
        <w:t xml:space="preserve"> including alternative payment models (APMs)</w:t>
      </w:r>
      <w:r>
        <w:rPr>
          <w:bCs/>
        </w:rPr>
        <w:t xml:space="preserve"> provid</w:t>
      </w:r>
      <w:r w:rsidRPr="00CC18FE">
        <w:t>ing</w:t>
      </w:r>
      <w:r>
        <w:rPr>
          <w:bCs/>
        </w:rPr>
        <w:t xml:space="preserve"> prospective upfront payment for medical and </w:t>
      </w:r>
      <w:r w:rsidRPr="00CC18FE">
        <w:t>behavioral health care, such as</w:t>
      </w:r>
      <w:r>
        <w:rPr>
          <w:b/>
          <w:bCs/>
        </w:rPr>
        <w:t xml:space="preserve"> </w:t>
      </w:r>
      <w:r w:rsidRPr="00CC18FE">
        <w:t xml:space="preserve">in </w:t>
      </w:r>
      <w:r>
        <w:rPr>
          <w:bCs/>
        </w:rPr>
        <w:t>Medicaid MCO</w:t>
      </w:r>
      <w:r>
        <w:rPr>
          <w:b/>
          <w:bCs/>
        </w:rPr>
        <w:t xml:space="preserve"> </w:t>
      </w:r>
      <w:r w:rsidRPr="00CC18FE">
        <w:t xml:space="preserve">programs, </w:t>
      </w:r>
      <w:r>
        <w:rPr>
          <w:bCs/>
        </w:rPr>
        <w:t>Medicare ACOs</w:t>
      </w:r>
      <w:r>
        <w:rPr>
          <w:b/>
          <w:bCs/>
        </w:rPr>
        <w:t>,</w:t>
      </w:r>
      <w:r>
        <w:rPr>
          <w:bCs/>
        </w:rPr>
        <w:t xml:space="preserve"> and </w:t>
      </w:r>
      <w:r w:rsidRPr="00CC18FE">
        <w:rPr>
          <w:bCs/>
        </w:rPr>
        <w:t>Medicare Advantage</w:t>
      </w:r>
      <w:r>
        <w:rPr>
          <w:bCs/>
        </w:rPr>
        <w:t xml:space="preserve"> plans</w:t>
      </w:r>
      <w:r w:rsidR="00AE3AC4">
        <w:rPr>
          <w:bCs/>
        </w:rPr>
        <w:t>,</w:t>
      </w:r>
      <w:r>
        <w:rPr>
          <w:b/>
          <w:bCs/>
        </w:rPr>
        <w:t xml:space="preserve"> </w:t>
      </w:r>
      <w:r w:rsidR="00AE3AC4" w:rsidRPr="00AE3AC4">
        <w:t>are best able to</w:t>
      </w:r>
      <w:r w:rsidR="00AE3AC4">
        <w:rPr>
          <w:b/>
          <w:bCs/>
        </w:rPr>
        <w:t xml:space="preserve"> </w:t>
      </w:r>
      <w:r w:rsidR="00AE3AC4" w:rsidRPr="00AE3AC4">
        <w:t>support accountable care relationships (BPC).</w:t>
      </w:r>
      <w:r w:rsidRPr="00CC18FE">
        <w:t xml:space="preserve"> These programs have </w:t>
      </w:r>
      <w:r>
        <w:rPr>
          <w:bCs/>
        </w:rPr>
        <w:t>well-defined quality</w:t>
      </w:r>
      <w:r>
        <w:rPr>
          <w:b/>
          <w:bCs/>
        </w:rPr>
        <w:t xml:space="preserve"> </w:t>
      </w:r>
      <w:r>
        <w:rPr>
          <w:bCs/>
        </w:rPr>
        <w:t xml:space="preserve">metrics, delivery standards and payment approaches incentivizing </w:t>
      </w:r>
      <w:r>
        <w:rPr>
          <w:b/>
          <w:bCs/>
        </w:rPr>
        <w:t>i</w:t>
      </w:r>
      <w:r>
        <w:rPr>
          <w:bCs/>
        </w:rPr>
        <w:t xml:space="preserve">ntegrated care.  Models </w:t>
      </w:r>
      <w:r w:rsidRPr="00CC18FE">
        <w:t xml:space="preserve">able to support </w:t>
      </w:r>
      <w:r w:rsidRPr="00CC18FE">
        <w:lastRenderedPageBreak/>
        <w:t>accountable care relationships also</w:t>
      </w:r>
      <w:r>
        <w:rPr>
          <w:bCs/>
        </w:rPr>
        <w:t xml:space="preserve"> need technical assistance</w:t>
      </w:r>
      <w:r w:rsidR="00AE3AC4">
        <w:rPr>
          <w:bCs/>
        </w:rPr>
        <w:t xml:space="preserve"> programs</w:t>
      </w:r>
      <w:r>
        <w:rPr>
          <w:bCs/>
        </w:rPr>
        <w:t xml:space="preserve"> and specialized</w:t>
      </w:r>
      <w:r>
        <w:rPr>
          <w:b/>
          <w:bCs/>
        </w:rPr>
        <w:t xml:space="preserve"> </w:t>
      </w:r>
      <w:r w:rsidRPr="00CC18FE">
        <w:t>integrated care</w:t>
      </w:r>
      <w:r>
        <w:rPr>
          <w:b/>
          <w:bCs/>
        </w:rPr>
        <w:t xml:space="preserve"> </w:t>
      </w:r>
      <w:r>
        <w:rPr>
          <w:bCs/>
        </w:rPr>
        <w:t>training, and health information technology that allows for</w:t>
      </w:r>
      <w:r>
        <w:rPr>
          <w:b/>
          <w:bCs/>
        </w:rPr>
        <w:t xml:space="preserve"> </w:t>
      </w:r>
      <w:r>
        <w:rPr>
          <w:bCs/>
        </w:rPr>
        <w:t xml:space="preserve">interoperability and real-time information </w:t>
      </w:r>
      <w:r>
        <w:rPr>
          <w:b/>
          <w:bCs/>
        </w:rPr>
        <w:br/>
      </w:r>
      <w:r>
        <w:rPr>
          <w:bCs/>
        </w:rPr>
        <w:t xml:space="preserve">between medical and </w:t>
      </w:r>
      <w:r w:rsidRPr="00CC18FE">
        <w:t>behavioral health providers.</w:t>
      </w:r>
    </w:p>
    <w:p w14:paraId="51588D6B" w14:textId="125ED633" w:rsidR="00232223" w:rsidRDefault="00232223" w:rsidP="00232223">
      <w:pPr>
        <w:rPr>
          <w:b/>
          <w:bCs/>
        </w:rPr>
      </w:pPr>
      <w:r>
        <w:rPr>
          <w:bCs/>
        </w:rPr>
        <w:t>3)c)</w:t>
      </w:r>
      <w:r>
        <w:rPr>
          <w:b/>
          <w:bCs/>
        </w:rPr>
        <w:t xml:space="preserve">:  </w:t>
      </w:r>
      <w:r>
        <w:rPr>
          <w:bCs/>
        </w:rPr>
        <w:t xml:space="preserve"> </w:t>
      </w:r>
      <w:r w:rsidRPr="00302A5E">
        <w:rPr>
          <w:bCs/>
          <w:u w:val="single"/>
        </w:rPr>
        <w:t xml:space="preserve">Features </w:t>
      </w:r>
      <w:r w:rsidRPr="0051309C">
        <w:rPr>
          <w:u w:val="single"/>
        </w:rPr>
        <w:t>Needed to Incent</w:t>
      </w:r>
      <w:r w:rsidR="00687336">
        <w:rPr>
          <w:u w:val="single"/>
        </w:rPr>
        <w:t>ivize</w:t>
      </w:r>
      <w:r w:rsidRPr="0051309C">
        <w:rPr>
          <w:u w:val="single"/>
        </w:rPr>
        <w:t xml:space="preserve"> Beneficiaries to Align with Providers in APMs:</w:t>
      </w:r>
      <w:r w:rsidRPr="00302A5E">
        <w:rPr>
          <w:b/>
          <w:bCs/>
          <w:u w:val="single"/>
        </w:rPr>
        <w:br/>
      </w:r>
      <w:r>
        <w:rPr>
          <w:b/>
          <w:bCs/>
          <w:u w:val="single"/>
        </w:rPr>
        <w:br/>
      </w:r>
      <w:r w:rsidRPr="0093463B">
        <w:t xml:space="preserve">-- </w:t>
      </w:r>
      <w:r w:rsidR="00E0019A">
        <w:t>d</w:t>
      </w:r>
      <w:r w:rsidR="0093463B" w:rsidRPr="0093463B">
        <w:t>elivery of accessible</w:t>
      </w:r>
      <w:r w:rsidR="0093463B">
        <w:rPr>
          <w:b/>
          <w:bCs/>
          <w:u w:val="single"/>
        </w:rPr>
        <w:t xml:space="preserve"> </w:t>
      </w:r>
      <w:r>
        <w:rPr>
          <w:bCs/>
        </w:rPr>
        <w:t xml:space="preserve">integrated medical and </w:t>
      </w:r>
      <w:r w:rsidRPr="0051309C">
        <w:t>behavioral care</w:t>
      </w:r>
      <w:r>
        <w:rPr>
          <w:bCs/>
        </w:rPr>
        <w:t xml:space="preserve"> in same place</w:t>
      </w:r>
      <w:r>
        <w:rPr>
          <w:b/>
          <w:bCs/>
        </w:rPr>
        <w:t xml:space="preserve"> </w:t>
      </w:r>
      <w:r w:rsidRPr="0051309C">
        <w:t xml:space="preserve">with </w:t>
      </w:r>
      <w:r>
        <w:rPr>
          <w:bCs/>
        </w:rPr>
        <w:t>same day</w:t>
      </w:r>
      <w:r w:rsidRPr="0051309C">
        <w:t xml:space="preserve"> services</w:t>
      </w:r>
      <w:r>
        <w:rPr>
          <w:b/>
          <w:bCs/>
        </w:rPr>
        <w:br/>
        <w:t xml:space="preserve">-- </w:t>
      </w:r>
      <w:r w:rsidRPr="0051309C">
        <w:t>e</w:t>
      </w:r>
      <w:r>
        <w:rPr>
          <w:bCs/>
        </w:rPr>
        <w:t>liminat</w:t>
      </w:r>
      <w:r w:rsidR="00E0019A">
        <w:rPr>
          <w:bCs/>
        </w:rPr>
        <w:t>ion of</w:t>
      </w:r>
      <w:r>
        <w:rPr>
          <w:bCs/>
        </w:rPr>
        <w:t xml:space="preserve"> additional co-pays for </w:t>
      </w:r>
      <w:r w:rsidRPr="0051309C">
        <w:t xml:space="preserve">mental health </w:t>
      </w:r>
      <w:r>
        <w:rPr>
          <w:bCs/>
        </w:rPr>
        <w:t>encounters in medical settings</w:t>
      </w:r>
      <w:r>
        <w:rPr>
          <w:b/>
          <w:bCs/>
        </w:rPr>
        <w:br/>
      </w:r>
      <w:r w:rsidRPr="0051309C">
        <w:t>-- d</w:t>
      </w:r>
      <w:r>
        <w:rPr>
          <w:bCs/>
        </w:rPr>
        <w:t>emonstrate to patients</w:t>
      </w:r>
      <w:r w:rsidRPr="0051309C">
        <w:t xml:space="preserve"> that</w:t>
      </w:r>
      <w:r>
        <w:rPr>
          <w:b/>
          <w:bCs/>
        </w:rPr>
        <w:t xml:space="preserve"> </w:t>
      </w:r>
      <w:r>
        <w:rPr>
          <w:bCs/>
        </w:rPr>
        <w:t xml:space="preserve">their </w:t>
      </w:r>
      <w:r w:rsidRPr="0051309C">
        <w:t>physical</w:t>
      </w:r>
      <w:r>
        <w:rPr>
          <w:bCs/>
        </w:rPr>
        <w:t xml:space="preserve"> and</w:t>
      </w:r>
      <w:r w:rsidRPr="0051309C">
        <w:t xml:space="preserve"> mental health</w:t>
      </w:r>
      <w:r>
        <w:rPr>
          <w:bCs/>
        </w:rPr>
        <w:t xml:space="preserve"> providers work in</w:t>
      </w:r>
      <w:r>
        <w:rPr>
          <w:b/>
          <w:bCs/>
        </w:rPr>
        <w:br/>
        <w:t xml:space="preserve">   </w:t>
      </w:r>
      <w:r>
        <w:rPr>
          <w:bCs/>
        </w:rPr>
        <w:t xml:space="preserve"> close</w:t>
      </w:r>
      <w:r>
        <w:rPr>
          <w:b/>
          <w:bCs/>
        </w:rPr>
        <w:t xml:space="preserve"> </w:t>
      </w:r>
      <w:r>
        <w:rPr>
          <w:bCs/>
        </w:rPr>
        <w:t xml:space="preserve">cooperation, coordination, </w:t>
      </w:r>
      <w:r w:rsidRPr="0051309C">
        <w:t xml:space="preserve">and communication with each other </w:t>
      </w:r>
      <w:r w:rsidRPr="0051309C">
        <w:br/>
        <w:t xml:space="preserve">   </w:t>
      </w:r>
      <w:r w:rsidRPr="0051309C">
        <w:rPr>
          <w:b/>
          <w:bCs/>
        </w:rPr>
        <w:t xml:space="preserve"> </w:t>
      </w:r>
      <w:r w:rsidRPr="0051309C">
        <w:t xml:space="preserve">and engage in seamless real-time sharing of patients full personal health </w:t>
      </w:r>
      <w:r w:rsidRPr="0051309C">
        <w:br/>
        <w:t xml:space="preserve">    information data.</w:t>
      </w:r>
    </w:p>
    <w:p w14:paraId="2C164E0B" w14:textId="741AC086" w:rsidR="00990442" w:rsidRDefault="00232223" w:rsidP="00232223">
      <w:r>
        <w:rPr>
          <w:bCs/>
        </w:rPr>
        <w:t>4)a)</w:t>
      </w:r>
      <w:r>
        <w:rPr>
          <w:b/>
          <w:bCs/>
        </w:rPr>
        <w:t xml:space="preserve">:  </w:t>
      </w:r>
      <w:r w:rsidRPr="00432F99">
        <w:rPr>
          <w:bCs/>
          <w:u w:val="single"/>
        </w:rPr>
        <w:t>Barriers to Providers Participating in TB-TCOC Models:</w:t>
      </w:r>
      <w:r w:rsidRPr="00432F99">
        <w:rPr>
          <w:bCs/>
          <w:u w:val="single"/>
        </w:rPr>
        <w:br/>
      </w:r>
      <w:r w:rsidRPr="00C03690">
        <w:rPr>
          <w:bCs/>
          <w:u w:val="single"/>
        </w:rPr>
        <w:br/>
      </w:r>
      <w:r>
        <w:rPr>
          <w:b/>
          <w:bCs/>
        </w:rPr>
        <w:t xml:space="preserve">-- </w:t>
      </w:r>
      <w:r w:rsidRPr="00432F99">
        <w:t>inadequate reimbursement to providers</w:t>
      </w:r>
      <w:r w:rsidRPr="00432F99">
        <w:br/>
        <w:t xml:space="preserve">-- </w:t>
      </w:r>
      <w:r w:rsidR="004E5081">
        <w:t>mandatory reporting of u</w:t>
      </w:r>
      <w:r w:rsidRPr="00432F99">
        <w:t xml:space="preserve">nclear, overly complicated, burdensome quality metrics </w:t>
      </w:r>
      <w:r w:rsidRPr="00432F99">
        <w:br/>
        <w:t>-- lack of upfront payment</w:t>
      </w:r>
      <w:r w:rsidR="00904588">
        <w:t xml:space="preserve"> to practices</w:t>
      </w:r>
      <w:r w:rsidRPr="00432F99">
        <w:t xml:space="preserve"> for initial set</w:t>
      </w:r>
      <w:r w:rsidR="00904588">
        <w:t xml:space="preserve">-up </w:t>
      </w:r>
      <w:r w:rsidRPr="00432F99">
        <w:t xml:space="preserve">expenditures and ongoing </w:t>
      </w:r>
      <w:r w:rsidRPr="00432F99">
        <w:br/>
        <w:t xml:space="preserve">    operational expenses </w:t>
      </w:r>
      <w:r w:rsidR="00904588">
        <w:t>required</w:t>
      </w:r>
      <w:r w:rsidRPr="00432F99">
        <w:t xml:space="preserve"> to provide </w:t>
      </w:r>
      <w:r w:rsidR="00904588">
        <w:t xml:space="preserve">evidence-based </w:t>
      </w:r>
      <w:r w:rsidR="00DE0958">
        <w:t>i</w:t>
      </w:r>
      <w:r w:rsidRPr="00432F99">
        <w:t xml:space="preserve">ntegrated care </w:t>
      </w:r>
      <w:r w:rsidR="00DE0958">
        <w:t>–</w:t>
      </w:r>
      <w:r w:rsidRPr="00432F99">
        <w:t xml:space="preserve"> </w:t>
      </w:r>
      <w:r w:rsidR="00DE0958">
        <w:t>which is</w:t>
      </w:r>
      <w:r w:rsidR="00DE0958">
        <w:br/>
        <w:t xml:space="preserve">    </w:t>
      </w:r>
      <w:r w:rsidRPr="00432F99">
        <w:t>a wholly new way of</w:t>
      </w:r>
      <w:r w:rsidR="00DE0958">
        <w:t xml:space="preserve"> providing quality, accountable </w:t>
      </w:r>
      <w:r w:rsidRPr="00432F99">
        <w:t xml:space="preserve">healthcare </w:t>
      </w:r>
      <w:r w:rsidR="00DE0958">
        <w:t xml:space="preserve">and </w:t>
      </w:r>
      <w:r w:rsidRPr="00432F99">
        <w:t>which affect</w:t>
      </w:r>
      <w:r w:rsidR="00DE0958">
        <w:t xml:space="preserve">s </w:t>
      </w:r>
      <w:r w:rsidR="00DE0958">
        <w:br/>
        <w:t xml:space="preserve">    </w:t>
      </w:r>
      <w:r w:rsidRPr="00432F99">
        <w:t>every aspect of the practice</w:t>
      </w:r>
      <w:r w:rsidRPr="00432F99">
        <w:br/>
        <w:t xml:space="preserve">-- need for specialized technical training programs </w:t>
      </w:r>
      <w:r w:rsidR="00DE0958">
        <w:t xml:space="preserve">for clinicians </w:t>
      </w:r>
      <w:r w:rsidRPr="00432F99">
        <w:t xml:space="preserve">to be able to deliver </w:t>
      </w:r>
      <w:r w:rsidRPr="00432F99">
        <w:br/>
        <w:t xml:space="preserve">    evidence-based integrated care.</w:t>
      </w:r>
      <w:r>
        <w:rPr>
          <w:b/>
          <w:bCs/>
        </w:rPr>
        <w:br/>
      </w:r>
    </w:p>
    <w:p w14:paraId="3C03F03F" w14:textId="4ADA19A3" w:rsidR="00232223" w:rsidRPr="00837471" w:rsidRDefault="00232223" w:rsidP="00232223">
      <w:r w:rsidRPr="00837471">
        <w:t xml:space="preserve">4)c):  </w:t>
      </w:r>
      <w:r w:rsidRPr="00837471">
        <w:rPr>
          <w:u w:val="single"/>
        </w:rPr>
        <w:t>Why Some Providers Cease Participation in TB-TCOC Models</w:t>
      </w:r>
      <w:r w:rsidRPr="00837471">
        <w:t>:</w:t>
      </w:r>
    </w:p>
    <w:p w14:paraId="7E2465F8" w14:textId="0B15CC40" w:rsidR="00232223" w:rsidRPr="00837471" w:rsidRDefault="00232223" w:rsidP="00232223">
      <w:pPr>
        <w:rPr>
          <w:bCs/>
        </w:rPr>
      </w:pPr>
      <w:r w:rsidRPr="00837471">
        <w:t xml:space="preserve"> It is very challenging for practices</w:t>
      </w:r>
      <w:r w:rsidR="00904BB8">
        <w:t xml:space="preserve">/health systems </w:t>
      </w:r>
      <w:r w:rsidRPr="00837471">
        <w:t xml:space="preserve">to financially sustain integrated care delivery services beyond grant or demonstration program periods, </w:t>
      </w:r>
      <w:r w:rsidR="00904BB8">
        <w:t xml:space="preserve">and </w:t>
      </w:r>
      <w:r w:rsidRPr="00837471">
        <w:t xml:space="preserve">provide clinicians and staff with needed integration education, training, coaching, </w:t>
      </w:r>
      <w:r w:rsidR="00904BB8">
        <w:t xml:space="preserve">plus </w:t>
      </w:r>
      <w:r w:rsidRPr="00837471">
        <w:t>continuous quality improvement monitoring integrated care processes and activities, in today’s health care workforce shortage</w:t>
      </w:r>
      <w:r w:rsidR="00904BB8">
        <w:t xml:space="preserve">, </w:t>
      </w:r>
      <w:r w:rsidRPr="00837471">
        <w:t>burnout, low employee reimbursement, and staff turnove</w:t>
      </w:r>
      <w:r w:rsidR="00904BB8">
        <w:t>r,</w:t>
      </w:r>
      <w:r w:rsidRPr="00837471">
        <w:t xml:space="preserve"> environment.</w:t>
      </w:r>
      <w:r w:rsidR="00904BB8">
        <w:t xml:space="preserve"> The place where most accountable care relationships are now being envisioned, i.e. primary care and family practice, have been underinvested and underfunded for decades.  An essential re-visualization and rebranding of what is quality primary care, in the eyes of the healthcare workforce, patient/consumers, and policy makers, must take place to underpin sustained accountable care relationships.</w:t>
      </w:r>
      <w:r>
        <w:rPr>
          <w:bCs/>
        </w:rPr>
        <w:br/>
      </w:r>
      <w:r w:rsidRPr="00837471">
        <w:rPr>
          <w:bCs/>
        </w:rPr>
        <w:tab/>
      </w:r>
    </w:p>
    <w:p w14:paraId="3E83A923" w14:textId="395957B0" w:rsidR="00990442" w:rsidRPr="00923841" w:rsidRDefault="00232223" w:rsidP="00232223">
      <w:pPr>
        <w:rPr>
          <w:bCs/>
        </w:rPr>
      </w:pPr>
      <w:r w:rsidRPr="00837471">
        <w:rPr>
          <w:bCs/>
        </w:rPr>
        <w:t xml:space="preserve">5:)  </w:t>
      </w:r>
      <w:r w:rsidRPr="00837471">
        <w:rPr>
          <w:bCs/>
          <w:u w:val="single"/>
        </w:rPr>
        <w:t>Gaps in Current VBP models and Features Needed to Close Gaps</w:t>
      </w:r>
      <w:r w:rsidRPr="00837471">
        <w:rPr>
          <w:bCs/>
        </w:rPr>
        <w:t>:</w:t>
      </w:r>
      <w:r w:rsidRPr="00837471">
        <w:rPr>
          <w:bCs/>
        </w:rPr>
        <w:br/>
      </w:r>
      <w:r w:rsidRPr="00837471">
        <w:rPr>
          <w:bCs/>
        </w:rPr>
        <w:br/>
        <w:t xml:space="preserve">-- integration of behavioral health care should be mandatory service requirement </w:t>
      </w:r>
      <w:r w:rsidRPr="00837471">
        <w:rPr>
          <w:bCs/>
        </w:rPr>
        <w:br/>
        <w:t xml:space="preserve">    in all value-based payment programs</w:t>
      </w:r>
      <w:r w:rsidRPr="00837471">
        <w:rPr>
          <w:bCs/>
        </w:rPr>
        <w:br/>
        <w:t xml:space="preserve">-- behavioral health providers should be core providers in VBP programs </w:t>
      </w:r>
      <w:r w:rsidR="00923841">
        <w:rPr>
          <w:bCs/>
        </w:rPr>
        <w:br/>
        <w:t>-- involvement of patients and caregivers in design of VBP models and monitoring of outcomes</w:t>
      </w:r>
      <w:r w:rsidR="00923841">
        <w:rPr>
          <w:bCs/>
        </w:rPr>
        <w:br/>
      </w:r>
      <w:r w:rsidR="00923841">
        <w:rPr>
          <w:bCs/>
        </w:rPr>
        <w:lastRenderedPageBreak/>
        <w:t>-- VBP models are not going to work unless patients and caregivers and frontline providers</w:t>
      </w:r>
      <w:r w:rsidR="00923841">
        <w:rPr>
          <w:bCs/>
        </w:rPr>
        <w:br/>
        <w:t xml:space="preserve">    are involved in future</w:t>
      </w:r>
      <w:r w:rsidRPr="00837471">
        <w:rPr>
          <w:bCs/>
        </w:rPr>
        <w:br/>
        <w:t>-- insufficient payment for practices/systems</w:t>
      </w:r>
      <w:r w:rsidRPr="00837471">
        <w:rPr>
          <w:bCs/>
        </w:rPr>
        <w:br/>
        <w:t>-- clearly defined, reliable, valid quality metrics for delivering evidence-based</w:t>
      </w:r>
      <w:r w:rsidRPr="00837471">
        <w:rPr>
          <w:bCs/>
        </w:rPr>
        <w:br/>
        <w:t xml:space="preserve">    integrated care</w:t>
      </w:r>
      <w:r w:rsidRPr="00837471">
        <w:rPr>
          <w:bCs/>
        </w:rPr>
        <w:br/>
        <w:t xml:space="preserve">-- allowance for sufficient time for practices to demonstrate the value, in terms </w:t>
      </w:r>
      <w:r w:rsidRPr="00837471">
        <w:rPr>
          <w:bCs/>
        </w:rPr>
        <w:br/>
        <w:t xml:space="preserve">   of patient health outcomes and total care cost, of integrated care, e.g. 5-7 years</w:t>
      </w:r>
      <w:r w:rsidRPr="00837471">
        <w:rPr>
          <w:bCs/>
        </w:rPr>
        <w:br/>
        <w:t xml:space="preserve">   in lieu of 2-3 years.</w:t>
      </w:r>
      <w:r>
        <w:rPr>
          <w:bCs/>
        </w:rPr>
        <w:br/>
      </w:r>
      <w:r>
        <w:rPr>
          <w:bCs/>
        </w:rPr>
        <w:tab/>
      </w:r>
    </w:p>
    <w:p w14:paraId="2FA9A747" w14:textId="4DDB3308" w:rsidR="00232223" w:rsidRPr="00990442" w:rsidRDefault="00232223" w:rsidP="00232223">
      <w:pPr>
        <w:rPr>
          <w:b/>
          <w:bCs/>
        </w:rPr>
      </w:pPr>
      <w:r w:rsidRPr="00837471">
        <w:rPr>
          <w:bCs/>
        </w:rPr>
        <w:t xml:space="preserve">6):  </w:t>
      </w:r>
      <w:r w:rsidRPr="00837471">
        <w:rPr>
          <w:bCs/>
          <w:u w:val="single"/>
        </w:rPr>
        <w:t>Most Effective Payment Approaches for Fostering Accountable Relationships</w:t>
      </w:r>
      <w:r w:rsidRPr="00837471">
        <w:rPr>
          <w:bCs/>
        </w:rPr>
        <w:t>:</w:t>
      </w:r>
    </w:p>
    <w:p w14:paraId="1A8308F1" w14:textId="77777777" w:rsidR="00232223" w:rsidRDefault="00232223" w:rsidP="00232223">
      <w:pPr>
        <w:rPr>
          <w:b/>
          <w:bCs/>
        </w:rPr>
      </w:pPr>
      <w:r w:rsidRPr="00837471">
        <w:rPr>
          <w:bCs/>
        </w:rPr>
        <w:t xml:space="preserve">-- transitional approaches that balance prospective payment with existing </w:t>
      </w:r>
      <w:r w:rsidRPr="00837471">
        <w:rPr>
          <w:bCs/>
        </w:rPr>
        <w:br/>
        <w:t xml:space="preserve">    fee for service payment</w:t>
      </w:r>
      <w:r w:rsidRPr="00837471">
        <w:rPr>
          <w:bCs/>
        </w:rPr>
        <w:br/>
        <w:t>-- adequate upfront investment payment to cover first-time setting-up costs</w:t>
      </w:r>
      <w:r w:rsidRPr="00837471">
        <w:rPr>
          <w:bCs/>
        </w:rPr>
        <w:br/>
        <w:t>-- adequate payment to cover hiring of trained integrated care providers</w:t>
      </w:r>
      <w:r w:rsidRPr="00837471">
        <w:rPr>
          <w:bCs/>
        </w:rPr>
        <w:br/>
        <w:t>-- payment that is tiered so as to reward practices that make progress in</w:t>
      </w:r>
      <w:r w:rsidRPr="00837471">
        <w:rPr>
          <w:bCs/>
        </w:rPr>
        <w:br/>
        <w:t xml:space="preserve">    steadily achieving higher levels of evidence integrated care services across</w:t>
      </w:r>
      <w:r w:rsidRPr="00837471">
        <w:rPr>
          <w:bCs/>
        </w:rPr>
        <w:br/>
        <w:t xml:space="preserve">    evidence-based implementation framework domains.</w:t>
      </w:r>
      <w:r>
        <w:rPr>
          <w:b/>
          <w:bCs/>
        </w:rPr>
        <w:br/>
      </w:r>
    </w:p>
    <w:p w14:paraId="2FFAB73B" w14:textId="77777777" w:rsidR="00232223" w:rsidRPr="001E19B5" w:rsidRDefault="00232223" w:rsidP="00232223">
      <w:pPr>
        <w:rPr>
          <w:bCs/>
        </w:rPr>
      </w:pPr>
      <w:r>
        <w:rPr>
          <w:bCs/>
        </w:rPr>
        <w:t>6</w:t>
      </w:r>
      <w:r w:rsidRPr="001E19B5">
        <w:rPr>
          <w:bCs/>
        </w:rPr>
        <w:t xml:space="preserve">)c):  </w:t>
      </w:r>
      <w:r w:rsidRPr="001E19B5">
        <w:rPr>
          <w:bCs/>
          <w:u w:val="single"/>
        </w:rPr>
        <w:t>Structures Needed for Organization-Level v Provider-Level Financial incents</w:t>
      </w:r>
      <w:r w:rsidRPr="001E19B5">
        <w:rPr>
          <w:bCs/>
        </w:rPr>
        <w:t>:</w:t>
      </w:r>
    </w:p>
    <w:p w14:paraId="40541652" w14:textId="77777777" w:rsidR="00232223" w:rsidRPr="001E19B5" w:rsidRDefault="00232223" w:rsidP="00232223">
      <w:pPr>
        <w:rPr>
          <w:bCs/>
        </w:rPr>
      </w:pPr>
      <w:r w:rsidRPr="001E19B5">
        <w:rPr>
          <w:bCs/>
        </w:rPr>
        <w:t xml:space="preserve">-- primary care </w:t>
      </w:r>
      <w:r w:rsidRPr="00B468D0">
        <w:rPr>
          <w:bCs/>
          <w:i/>
          <w:iCs/>
        </w:rPr>
        <w:t xml:space="preserve">sites </w:t>
      </w:r>
      <w:r w:rsidRPr="001E19B5">
        <w:rPr>
          <w:bCs/>
        </w:rPr>
        <w:t xml:space="preserve">participating in delivery of integrated care services should </w:t>
      </w:r>
      <w:r w:rsidRPr="001E19B5">
        <w:rPr>
          <w:bCs/>
        </w:rPr>
        <w:br/>
        <w:t xml:space="preserve">   directly receive financial incentives instead of such payments only going to the</w:t>
      </w:r>
      <w:r w:rsidRPr="001E19B5">
        <w:rPr>
          <w:bCs/>
        </w:rPr>
        <w:br/>
        <w:t xml:space="preserve">   healthcare system of which it is a part</w:t>
      </w:r>
      <w:r w:rsidRPr="001E19B5">
        <w:rPr>
          <w:bCs/>
        </w:rPr>
        <w:br/>
        <w:t>-- payments to primary care site providers should be tiered and tied to</w:t>
      </w:r>
      <w:r w:rsidRPr="001E19B5">
        <w:rPr>
          <w:bCs/>
        </w:rPr>
        <w:br/>
        <w:t xml:space="preserve">   attaining progress in advancing in integration implementation levels.</w:t>
      </w:r>
    </w:p>
    <w:p w14:paraId="2C3DCBDF" w14:textId="77F90283" w:rsidR="00232223" w:rsidRPr="001E19B5" w:rsidRDefault="00232223" w:rsidP="00232223">
      <w:pPr>
        <w:rPr>
          <w:bCs/>
        </w:rPr>
      </w:pPr>
      <w:r w:rsidRPr="001E19B5">
        <w:rPr>
          <w:bCs/>
        </w:rPr>
        <w:t xml:space="preserve">8)b):  </w:t>
      </w:r>
      <w:r w:rsidRPr="001E19B5">
        <w:rPr>
          <w:bCs/>
          <w:u w:val="single"/>
        </w:rPr>
        <w:t>Implementation Challenges with Implementing Specialty, Condition, or</w:t>
      </w:r>
      <w:r w:rsidRPr="001E19B5">
        <w:rPr>
          <w:bCs/>
          <w:u w:val="single"/>
        </w:rPr>
        <w:br/>
      </w:r>
      <w:r w:rsidRPr="001E19B5">
        <w:rPr>
          <w:bCs/>
        </w:rPr>
        <w:t xml:space="preserve">          </w:t>
      </w:r>
      <w:r w:rsidRPr="001E19B5">
        <w:rPr>
          <w:bCs/>
          <w:u w:val="single"/>
        </w:rPr>
        <w:t>Setting-Specific Measures in PB-TCOC Models:</w:t>
      </w:r>
      <w:r w:rsidRPr="001E19B5">
        <w:rPr>
          <w:bCs/>
        </w:rPr>
        <w:br/>
      </w:r>
      <w:r w:rsidRPr="001E19B5">
        <w:rPr>
          <w:bCs/>
        </w:rPr>
        <w:br/>
        <w:t>-- accountability among providers:  medical provider, behavioral health provider,</w:t>
      </w:r>
      <w:r w:rsidRPr="001E19B5">
        <w:rPr>
          <w:bCs/>
        </w:rPr>
        <w:br/>
        <w:t xml:space="preserve">    prescriber, patient, insure</w:t>
      </w:r>
      <w:r w:rsidR="00B468D0">
        <w:rPr>
          <w:bCs/>
        </w:rPr>
        <w:t>r … w</w:t>
      </w:r>
      <w:r w:rsidRPr="001E19B5">
        <w:rPr>
          <w:bCs/>
        </w:rPr>
        <w:t xml:space="preserve">here should accountability lie, should </w:t>
      </w:r>
      <w:r w:rsidRPr="001E19B5">
        <w:rPr>
          <w:bCs/>
        </w:rPr>
        <w:br/>
        <w:t xml:space="preserve">    accountability be shared among providers, and if so, how? </w:t>
      </w:r>
      <w:r w:rsidRPr="001E19B5">
        <w:rPr>
          <w:bCs/>
        </w:rPr>
        <w:br/>
        <w:t xml:space="preserve">-- patient-centered measures: values and patients should be taken into account </w:t>
      </w:r>
      <w:r w:rsidRPr="001E19B5">
        <w:rPr>
          <w:bCs/>
        </w:rPr>
        <w:br/>
        <w:t xml:space="preserve">    and patient behavioral activation and active engagement prioritized</w:t>
      </w:r>
      <w:r w:rsidR="00765DC8">
        <w:rPr>
          <w:bCs/>
        </w:rPr>
        <w:br/>
        <w:t>-- patient-centered measures: including patient-reported outcomes (PROs), a core</w:t>
      </w:r>
      <w:r w:rsidR="00765DC8">
        <w:rPr>
          <w:bCs/>
        </w:rPr>
        <w:br/>
        <w:t xml:space="preserve">    element to quality measurement work and foundational to consumer/patient/family</w:t>
      </w:r>
      <w:r w:rsidR="00765DC8">
        <w:rPr>
          <w:bCs/>
        </w:rPr>
        <w:br/>
        <w:t xml:space="preserve">    advocacy and accountability efforts</w:t>
      </w:r>
      <w:r w:rsidRPr="001E19B5">
        <w:rPr>
          <w:bCs/>
        </w:rPr>
        <w:br/>
        <w:t>-- adequacy of health information sharing, analytical and reporting data bases</w:t>
      </w:r>
      <w:r w:rsidRPr="001E19B5">
        <w:rPr>
          <w:bCs/>
        </w:rPr>
        <w:br/>
        <w:t xml:space="preserve">-- addressing </w:t>
      </w:r>
      <w:r w:rsidR="00B468D0">
        <w:rPr>
          <w:bCs/>
        </w:rPr>
        <w:t xml:space="preserve">the </w:t>
      </w:r>
      <w:r w:rsidRPr="001E19B5">
        <w:rPr>
          <w:bCs/>
        </w:rPr>
        <w:t xml:space="preserve">question </w:t>
      </w:r>
      <w:r w:rsidR="00B468D0">
        <w:rPr>
          <w:bCs/>
        </w:rPr>
        <w:t xml:space="preserve">of </w:t>
      </w:r>
      <w:r w:rsidRPr="001E19B5">
        <w:rPr>
          <w:bCs/>
        </w:rPr>
        <w:t>whether measurement leads to improvement.</w:t>
      </w:r>
    </w:p>
    <w:p w14:paraId="3B213774" w14:textId="77777777" w:rsidR="00F1045C" w:rsidRDefault="00F1045C" w:rsidP="00232223">
      <w:pPr>
        <w:rPr>
          <w:bCs/>
        </w:rPr>
      </w:pPr>
    </w:p>
    <w:p w14:paraId="59C2FD8E" w14:textId="54C24015" w:rsidR="00232223" w:rsidRPr="001E19B5" w:rsidRDefault="00232223" w:rsidP="00232223">
      <w:pPr>
        <w:rPr>
          <w:bCs/>
        </w:rPr>
      </w:pPr>
      <w:r w:rsidRPr="001E19B5">
        <w:rPr>
          <w:bCs/>
        </w:rPr>
        <w:lastRenderedPageBreak/>
        <w:t xml:space="preserve">9):  </w:t>
      </w:r>
      <w:r w:rsidRPr="001E19B5">
        <w:rPr>
          <w:bCs/>
          <w:u w:val="single"/>
        </w:rPr>
        <w:t>Best Practices for Establishing Benchmarks for Use in TB-TCOC</w:t>
      </w:r>
      <w:r w:rsidRPr="001E19B5">
        <w:rPr>
          <w:bCs/>
        </w:rPr>
        <w:t>:</w:t>
      </w:r>
    </w:p>
    <w:p w14:paraId="28861EBB" w14:textId="55F16436" w:rsidR="00232223" w:rsidRPr="001E19B5" w:rsidRDefault="00232223" w:rsidP="00232223">
      <w:pPr>
        <w:rPr>
          <w:bCs/>
        </w:rPr>
      </w:pPr>
      <w:r w:rsidRPr="001E19B5">
        <w:rPr>
          <w:bCs/>
        </w:rPr>
        <w:t>-- use of consensus standards of care and evidence-based strategies</w:t>
      </w:r>
      <w:r w:rsidRPr="001E19B5">
        <w:rPr>
          <w:bCs/>
        </w:rPr>
        <w:br/>
        <w:t>-- team-based care of collaborating, trained medical and behavioral providers</w:t>
      </w:r>
      <w:r w:rsidRPr="001E19B5">
        <w:rPr>
          <w:bCs/>
        </w:rPr>
        <w:br/>
        <w:t xml:space="preserve">-- seamless physical and behavioral data information systems’ HIT </w:t>
      </w:r>
      <w:r w:rsidRPr="001E19B5">
        <w:rPr>
          <w:bCs/>
        </w:rPr>
        <w:br/>
        <w:t xml:space="preserve">    interoperability and data-sharing in real time</w:t>
      </w:r>
      <w:r w:rsidRPr="001E19B5">
        <w:rPr>
          <w:bCs/>
        </w:rPr>
        <w:br/>
        <w:t>-- integrated communications systems among medical and behavioral clinicians</w:t>
      </w:r>
      <w:r w:rsidRPr="001E19B5">
        <w:rPr>
          <w:bCs/>
        </w:rPr>
        <w:br/>
        <w:t>-- fully engaged patients playing key role in care team</w:t>
      </w:r>
      <w:r w:rsidR="00901DAD">
        <w:rPr>
          <w:bCs/>
        </w:rPr>
        <w:br/>
      </w:r>
    </w:p>
    <w:p w14:paraId="3C55C639" w14:textId="5C5BD050" w:rsidR="00232223" w:rsidRPr="001E19B5" w:rsidRDefault="00232223" w:rsidP="00232223">
      <w:pPr>
        <w:rPr>
          <w:bCs/>
        </w:rPr>
      </w:pPr>
      <w:r w:rsidRPr="001E19B5">
        <w:rPr>
          <w:bCs/>
        </w:rPr>
        <w:t xml:space="preserve">11):  </w:t>
      </w:r>
      <w:r w:rsidRPr="001E19B5">
        <w:rPr>
          <w:bCs/>
          <w:u w:val="single"/>
        </w:rPr>
        <w:t xml:space="preserve">What Should Relationship between TB-TCOC and Other Medicare VBP   </w:t>
      </w:r>
      <w:r w:rsidRPr="001E19B5">
        <w:rPr>
          <w:bCs/>
          <w:u w:val="single"/>
        </w:rPr>
        <w:br/>
      </w:r>
      <w:r w:rsidRPr="001E19B5">
        <w:rPr>
          <w:bCs/>
        </w:rPr>
        <w:t xml:space="preserve">         </w:t>
      </w:r>
      <w:r w:rsidRPr="001E19B5">
        <w:rPr>
          <w:bCs/>
          <w:u w:val="single"/>
        </w:rPr>
        <w:t xml:space="preserve">Programs Such </w:t>
      </w:r>
      <w:proofErr w:type="gramStart"/>
      <w:r w:rsidRPr="001E19B5">
        <w:rPr>
          <w:bCs/>
          <w:u w:val="single"/>
        </w:rPr>
        <w:t>As</w:t>
      </w:r>
      <w:proofErr w:type="gramEnd"/>
      <w:r w:rsidRPr="001E19B5">
        <w:rPr>
          <w:bCs/>
          <w:u w:val="single"/>
        </w:rPr>
        <w:t xml:space="preserve"> MA Plans, MSSP, Look Like</w:t>
      </w:r>
      <w:r w:rsidRPr="001E19B5">
        <w:rPr>
          <w:bCs/>
        </w:rPr>
        <w:t>:</w:t>
      </w:r>
    </w:p>
    <w:p w14:paraId="41A24DD3" w14:textId="289E623B" w:rsidR="00232223" w:rsidRPr="00C72BCB" w:rsidRDefault="00232223" w:rsidP="00232223">
      <w:r w:rsidRPr="001E19B5">
        <w:rPr>
          <w:bCs/>
        </w:rPr>
        <w:t>--MA and MSSP already have well-defined quality metrics, care delivery</w:t>
      </w:r>
      <w:r w:rsidRPr="001E19B5">
        <w:rPr>
          <w:bCs/>
        </w:rPr>
        <w:br/>
        <w:t xml:space="preserve">   standards, and payment strategies through which behavioral health </w:t>
      </w:r>
      <w:r w:rsidRPr="001E19B5">
        <w:rPr>
          <w:bCs/>
        </w:rPr>
        <w:br/>
        <w:t xml:space="preserve">   integration can be enforced and incentivized (BPC).</w:t>
      </w:r>
      <w:r w:rsidR="00901DAD">
        <w:rPr>
          <w:bCs/>
        </w:rPr>
        <w:br/>
      </w:r>
      <w:r w:rsidRPr="00184C39">
        <w:rPr>
          <w:bCs/>
        </w:rPr>
        <w:br/>
      </w:r>
      <w:r w:rsidRPr="00184C39">
        <w:rPr>
          <w:bCs/>
        </w:rPr>
        <w:br/>
      </w:r>
      <w:r w:rsidRPr="00C72BCB">
        <w:tab/>
      </w:r>
    </w:p>
    <w:p w14:paraId="1ADCFBE4" w14:textId="77777777" w:rsidR="00F1045C" w:rsidRDefault="00C72BCB" w:rsidP="00232223">
      <w:r w:rsidRPr="00C72BCB">
        <w:t>Florence C. Fee, J.D., M.A.</w:t>
      </w:r>
      <w:r w:rsidR="00F1045C">
        <w:t>, Executive Director</w:t>
      </w:r>
      <w:r w:rsidRPr="00C72BCB">
        <w:br/>
        <w:t>N</w:t>
      </w:r>
      <w:r w:rsidR="00456678">
        <w:t>HMH – No Health without Mental Health</w:t>
      </w:r>
      <w:r w:rsidR="00456678">
        <w:br/>
      </w:r>
      <w:r w:rsidR="00456678">
        <w:br/>
      </w:r>
      <w:r w:rsidR="00765DC8">
        <w:t>E. Clarke Ross, D.P.A.</w:t>
      </w:r>
      <w:r w:rsidR="00F1045C">
        <w:t>, Public Policy Director</w:t>
      </w:r>
      <w:r w:rsidR="00765DC8">
        <w:br/>
        <w:t>American Association on Health &amp; Disability</w:t>
      </w:r>
    </w:p>
    <w:p w14:paraId="73631F7F" w14:textId="73A5E609" w:rsidR="00456678" w:rsidRDefault="00F1045C" w:rsidP="00232223">
      <w:r>
        <w:t>E. Clarke Ross, D.P.A., Washington Representative</w:t>
      </w:r>
      <w:r>
        <w:br/>
        <w:t>Lakeshore Foundation</w:t>
      </w:r>
      <w:r w:rsidR="00456678">
        <w:br/>
      </w:r>
      <w:r w:rsidR="00456678">
        <w:br/>
        <w:t>Tim Clement</w:t>
      </w:r>
      <w:r w:rsidR="00456678">
        <w:br/>
        <w:t>Mental Health America, Vice President of Federal Government Affairs</w:t>
      </w:r>
    </w:p>
    <w:p w14:paraId="67FFB2F1" w14:textId="2B7A5580" w:rsidR="002D525A" w:rsidRDefault="002D525A" w:rsidP="00232223">
      <w:r>
        <w:t>Eric Buehlmann</w:t>
      </w:r>
      <w:r>
        <w:br/>
        <w:t>National Disability Rights Network, Deputy Executive Director for Public Policy</w:t>
      </w:r>
    </w:p>
    <w:p w14:paraId="69E4B7CA" w14:textId="6263A9FD" w:rsidR="00F1045C" w:rsidRPr="00C72BCB" w:rsidRDefault="00F1045C" w:rsidP="00232223">
      <w:r>
        <w:t>Joy Burkhard, Executive Director</w:t>
      </w:r>
      <w:r>
        <w:br/>
        <w:t>Policy Center for Maternal Mental Health</w:t>
      </w:r>
    </w:p>
    <w:p w14:paraId="6458A9AF" w14:textId="77777777" w:rsidR="00232223" w:rsidRPr="00EB0057" w:rsidRDefault="00232223" w:rsidP="00232223">
      <w:pPr>
        <w:rPr>
          <w:b/>
          <w:bCs/>
        </w:rPr>
      </w:pPr>
    </w:p>
    <w:p w14:paraId="294502C3" w14:textId="77777777" w:rsidR="00232223" w:rsidRPr="00DC7238" w:rsidRDefault="00232223" w:rsidP="00F95065">
      <w:pPr>
        <w:rPr>
          <w:bCs/>
        </w:rPr>
      </w:pPr>
    </w:p>
    <w:sectPr w:rsidR="00232223" w:rsidRPr="00DC7238" w:rsidSect="007E65E9">
      <w:headerReference w:type="default" r:id="rId9"/>
      <w:footerReference w:type="default" r:id="rId10"/>
      <w:headerReference w:type="first" r:id="rId11"/>
      <w:pgSz w:w="12240" w:h="15840"/>
      <w:pgMar w:top="1440" w:right="1440" w:bottom="81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69497" w14:textId="77777777" w:rsidR="00BA4D74" w:rsidRDefault="00BA4D74" w:rsidP="00430D69">
      <w:pPr>
        <w:spacing w:after="0" w:line="240" w:lineRule="auto"/>
      </w:pPr>
      <w:r>
        <w:separator/>
      </w:r>
    </w:p>
  </w:endnote>
  <w:endnote w:type="continuationSeparator" w:id="0">
    <w:p w14:paraId="0656AF64" w14:textId="77777777" w:rsidR="00BA4D74" w:rsidRDefault="00BA4D74" w:rsidP="00430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86681"/>
      <w:docPartObj>
        <w:docPartGallery w:val="Page Numbers (Bottom of Page)"/>
        <w:docPartUnique/>
      </w:docPartObj>
    </w:sdtPr>
    <w:sdtContent>
      <w:p w14:paraId="6B51C7DE" w14:textId="77777777" w:rsidR="004F0396" w:rsidRDefault="004F039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B6D88CF" w14:textId="77777777" w:rsidR="004F0396" w:rsidRDefault="004F03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EC9EE" w14:textId="77777777" w:rsidR="00BA4D74" w:rsidRDefault="00BA4D74" w:rsidP="00430D69">
      <w:pPr>
        <w:spacing w:after="0" w:line="240" w:lineRule="auto"/>
      </w:pPr>
      <w:r>
        <w:separator/>
      </w:r>
    </w:p>
  </w:footnote>
  <w:footnote w:type="continuationSeparator" w:id="0">
    <w:p w14:paraId="2D53396C" w14:textId="77777777" w:rsidR="00BA4D74" w:rsidRDefault="00BA4D74" w:rsidP="00430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FB5F4" w14:textId="77777777" w:rsidR="004F0396" w:rsidRDefault="004F0396">
    <w:pPr>
      <w:pStyle w:val="Header"/>
    </w:pPr>
  </w:p>
  <w:p w14:paraId="6D744973" w14:textId="77777777" w:rsidR="004F0396" w:rsidRDefault="004F0396">
    <w:pPr>
      <w:pStyle w:val="Header"/>
    </w:pPr>
  </w:p>
  <w:p w14:paraId="2132ABB4" w14:textId="77777777" w:rsidR="004F0396" w:rsidRDefault="004F03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C6F2F" w14:textId="77777777" w:rsidR="004F0396" w:rsidRDefault="004F0396">
    <w:pPr>
      <w:pStyle w:val="Header"/>
    </w:pPr>
    <w:r w:rsidRPr="00430D69">
      <w:rPr>
        <w:noProof/>
      </w:rPr>
      <w:drawing>
        <wp:inline distT="0" distB="0" distL="0" distR="0" wp14:anchorId="68B15FDB" wp14:editId="77B752CF">
          <wp:extent cx="1873718" cy="609600"/>
          <wp:effectExtent l="19050" t="0" r="0" b="0"/>
          <wp:docPr id="4" name="Picture 0" descr="NHMH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MHlogo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3718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81F46"/>
    <w:multiLevelType w:val="hybridMultilevel"/>
    <w:tmpl w:val="04AA5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433C7"/>
    <w:multiLevelType w:val="hybridMultilevel"/>
    <w:tmpl w:val="7D5A5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255A6"/>
    <w:multiLevelType w:val="hybridMultilevel"/>
    <w:tmpl w:val="3A9A9F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12157"/>
    <w:multiLevelType w:val="hybridMultilevel"/>
    <w:tmpl w:val="BA40A9EE"/>
    <w:lvl w:ilvl="0" w:tplc="69D6C63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202C4E"/>
    <w:multiLevelType w:val="hybridMultilevel"/>
    <w:tmpl w:val="3D6A7EA4"/>
    <w:lvl w:ilvl="0" w:tplc="53E8505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924CED"/>
    <w:multiLevelType w:val="hybridMultilevel"/>
    <w:tmpl w:val="A8F2C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E32AF"/>
    <w:multiLevelType w:val="hybridMultilevel"/>
    <w:tmpl w:val="FEE082FE"/>
    <w:lvl w:ilvl="0" w:tplc="9BF6935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960F80"/>
    <w:multiLevelType w:val="hybridMultilevel"/>
    <w:tmpl w:val="74A4296C"/>
    <w:lvl w:ilvl="0" w:tplc="D10EA21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D3177"/>
    <w:multiLevelType w:val="hybridMultilevel"/>
    <w:tmpl w:val="A28206C6"/>
    <w:lvl w:ilvl="0" w:tplc="4F44763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3756ED"/>
    <w:multiLevelType w:val="hybridMultilevel"/>
    <w:tmpl w:val="9072EB44"/>
    <w:lvl w:ilvl="0" w:tplc="452C0EE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5D546F"/>
    <w:multiLevelType w:val="hybridMultilevel"/>
    <w:tmpl w:val="9370CE1A"/>
    <w:lvl w:ilvl="0" w:tplc="49FCB3DC"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AD2349"/>
    <w:multiLevelType w:val="hybridMultilevel"/>
    <w:tmpl w:val="1B389732"/>
    <w:lvl w:ilvl="0" w:tplc="483A4AF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FB2BD0"/>
    <w:multiLevelType w:val="hybridMultilevel"/>
    <w:tmpl w:val="072A31B8"/>
    <w:lvl w:ilvl="0" w:tplc="8528E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E4381"/>
    <w:multiLevelType w:val="hybridMultilevel"/>
    <w:tmpl w:val="2B8AC5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F02D08"/>
    <w:multiLevelType w:val="hybridMultilevel"/>
    <w:tmpl w:val="B40827A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244D85"/>
    <w:multiLevelType w:val="hybridMultilevel"/>
    <w:tmpl w:val="89C0FB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9709C"/>
    <w:multiLevelType w:val="hybridMultilevel"/>
    <w:tmpl w:val="20328BAA"/>
    <w:lvl w:ilvl="0" w:tplc="5F0E3B5A">
      <w:start w:val="1"/>
      <w:numFmt w:val="upperRoman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696F78"/>
    <w:multiLevelType w:val="hybridMultilevel"/>
    <w:tmpl w:val="4F4A4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414F0F"/>
    <w:multiLevelType w:val="hybridMultilevel"/>
    <w:tmpl w:val="6A8A8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973839"/>
    <w:multiLevelType w:val="hybridMultilevel"/>
    <w:tmpl w:val="3C9A5A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D61BEF"/>
    <w:multiLevelType w:val="hybridMultilevel"/>
    <w:tmpl w:val="1FD8286A"/>
    <w:lvl w:ilvl="0" w:tplc="178EF88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F397880"/>
    <w:multiLevelType w:val="hybridMultilevel"/>
    <w:tmpl w:val="1BD8A5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08955">
    <w:abstractNumId w:val="17"/>
  </w:num>
  <w:num w:numId="2" w16cid:durableId="1188255443">
    <w:abstractNumId w:val="18"/>
  </w:num>
  <w:num w:numId="3" w16cid:durableId="1347050785">
    <w:abstractNumId w:val="1"/>
  </w:num>
  <w:num w:numId="4" w16cid:durableId="23867576">
    <w:abstractNumId w:val="0"/>
  </w:num>
  <w:num w:numId="5" w16cid:durableId="1170288105">
    <w:abstractNumId w:val="12"/>
  </w:num>
  <w:num w:numId="6" w16cid:durableId="1118916810">
    <w:abstractNumId w:val="11"/>
  </w:num>
  <w:num w:numId="7" w16cid:durableId="1979917696">
    <w:abstractNumId w:val="8"/>
  </w:num>
  <w:num w:numId="8" w16cid:durableId="14648053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24629741">
    <w:abstractNumId w:val="7"/>
  </w:num>
  <w:num w:numId="10" w16cid:durableId="1577671277">
    <w:abstractNumId w:val="4"/>
  </w:num>
  <w:num w:numId="11" w16cid:durableId="1631130188">
    <w:abstractNumId w:val="5"/>
  </w:num>
  <w:num w:numId="12" w16cid:durableId="376123470">
    <w:abstractNumId w:val="14"/>
  </w:num>
  <w:num w:numId="13" w16cid:durableId="1056243889">
    <w:abstractNumId w:val="6"/>
  </w:num>
  <w:num w:numId="14" w16cid:durableId="1742752595">
    <w:abstractNumId w:val="9"/>
  </w:num>
  <w:num w:numId="15" w16cid:durableId="938106090">
    <w:abstractNumId w:val="3"/>
  </w:num>
  <w:num w:numId="16" w16cid:durableId="1560551932">
    <w:abstractNumId w:val="20"/>
  </w:num>
  <w:num w:numId="17" w16cid:durableId="2097970017">
    <w:abstractNumId w:val="10"/>
  </w:num>
  <w:num w:numId="18" w16cid:durableId="975260457">
    <w:abstractNumId w:val="2"/>
  </w:num>
  <w:num w:numId="19" w16cid:durableId="1033116443">
    <w:abstractNumId w:val="19"/>
  </w:num>
  <w:num w:numId="20" w16cid:durableId="231627006">
    <w:abstractNumId w:val="15"/>
  </w:num>
  <w:num w:numId="21" w16cid:durableId="1785534798">
    <w:abstractNumId w:val="21"/>
  </w:num>
  <w:num w:numId="22" w16cid:durableId="9316257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69D"/>
    <w:rsid w:val="0000187D"/>
    <w:rsid w:val="00001C0E"/>
    <w:rsid w:val="00002824"/>
    <w:rsid w:val="000036EF"/>
    <w:rsid w:val="000038CF"/>
    <w:rsid w:val="00004768"/>
    <w:rsid w:val="00004776"/>
    <w:rsid w:val="00004B3F"/>
    <w:rsid w:val="0000618D"/>
    <w:rsid w:val="00006408"/>
    <w:rsid w:val="00006E3F"/>
    <w:rsid w:val="00006F9B"/>
    <w:rsid w:val="00007438"/>
    <w:rsid w:val="00007BB0"/>
    <w:rsid w:val="0001211A"/>
    <w:rsid w:val="0001400C"/>
    <w:rsid w:val="000149A7"/>
    <w:rsid w:val="00014F8C"/>
    <w:rsid w:val="00015C72"/>
    <w:rsid w:val="00015E3E"/>
    <w:rsid w:val="0001646B"/>
    <w:rsid w:val="00016E6F"/>
    <w:rsid w:val="00016F5B"/>
    <w:rsid w:val="00017772"/>
    <w:rsid w:val="00020695"/>
    <w:rsid w:val="00020D47"/>
    <w:rsid w:val="00023523"/>
    <w:rsid w:val="000235E4"/>
    <w:rsid w:val="000238FE"/>
    <w:rsid w:val="00024024"/>
    <w:rsid w:val="00025459"/>
    <w:rsid w:val="00025B0C"/>
    <w:rsid w:val="00025B21"/>
    <w:rsid w:val="00025BDA"/>
    <w:rsid w:val="00027040"/>
    <w:rsid w:val="00027CB4"/>
    <w:rsid w:val="00030000"/>
    <w:rsid w:val="00030C4D"/>
    <w:rsid w:val="0003161B"/>
    <w:rsid w:val="00032044"/>
    <w:rsid w:val="00032504"/>
    <w:rsid w:val="0003304D"/>
    <w:rsid w:val="00035548"/>
    <w:rsid w:val="00035FAF"/>
    <w:rsid w:val="00037522"/>
    <w:rsid w:val="000376E5"/>
    <w:rsid w:val="000425C8"/>
    <w:rsid w:val="0004286B"/>
    <w:rsid w:val="00042FF1"/>
    <w:rsid w:val="00043764"/>
    <w:rsid w:val="00043FDE"/>
    <w:rsid w:val="00044F36"/>
    <w:rsid w:val="0004544C"/>
    <w:rsid w:val="000462AE"/>
    <w:rsid w:val="000466F9"/>
    <w:rsid w:val="000474B2"/>
    <w:rsid w:val="0004767A"/>
    <w:rsid w:val="00047CD4"/>
    <w:rsid w:val="00052D31"/>
    <w:rsid w:val="000531DB"/>
    <w:rsid w:val="000540D1"/>
    <w:rsid w:val="00057415"/>
    <w:rsid w:val="000575EF"/>
    <w:rsid w:val="00057938"/>
    <w:rsid w:val="00057FDF"/>
    <w:rsid w:val="00061013"/>
    <w:rsid w:val="000615CF"/>
    <w:rsid w:val="00061C6B"/>
    <w:rsid w:val="00062F74"/>
    <w:rsid w:val="0006351D"/>
    <w:rsid w:val="0006365D"/>
    <w:rsid w:val="00063959"/>
    <w:rsid w:val="00063A77"/>
    <w:rsid w:val="00063DAE"/>
    <w:rsid w:val="00064175"/>
    <w:rsid w:val="000643C5"/>
    <w:rsid w:val="000645F4"/>
    <w:rsid w:val="00064C33"/>
    <w:rsid w:val="0006523C"/>
    <w:rsid w:val="00066173"/>
    <w:rsid w:val="00070075"/>
    <w:rsid w:val="00071D02"/>
    <w:rsid w:val="0007267A"/>
    <w:rsid w:val="00072B43"/>
    <w:rsid w:val="000755B5"/>
    <w:rsid w:val="000772ED"/>
    <w:rsid w:val="000774F3"/>
    <w:rsid w:val="0008163B"/>
    <w:rsid w:val="00083A3D"/>
    <w:rsid w:val="00085634"/>
    <w:rsid w:val="00087D6C"/>
    <w:rsid w:val="000925DD"/>
    <w:rsid w:val="000931F8"/>
    <w:rsid w:val="000939F1"/>
    <w:rsid w:val="0009497D"/>
    <w:rsid w:val="0009562C"/>
    <w:rsid w:val="00095753"/>
    <w:rsid w:val="000A033D"/>
    <w:rsid w:val="000A0999"/>
    <w:rsid w:val="000A1639"/>
    <w:rsid w:val="000A2E58"/>
    <w:rsid w:val="000A47FE"/>
    <w:rsid w:val="000A61E0"/>
    <w:rsid w:val="000A659A"/>
    <w:rsid w:val="000A673B"/>
    <w:rsid w:val="000A69CC"/>
    <w:rsid w:val="000A6C3C"/>
    <w:rsid w:val="000B06D9"/>
    <w:rsid w:val="000B10E8"/>
    <w:rsid w:val="000B258B"/>
    <w:rsid w:val="000B36DE"/>
    <w:rsid w:val="000B3D20"/>
    <w:rsid w:val="000B3FDC"/>
    <w:rsid w:val="000B55F4"/>
    <w:rsid w:val="000C0CAA"/>
    <w:rsid w:val="000C0EBA"/>
    <w:rsid w:val="000C14F7"/>
    <w:rsid w:val="000C1861"/>
    <w:rsid w:val="000C2100"/>
    <w:rsid w:val="000C2590"/>
    <w:rsid w:val="000C2C0E"/>
    <w:rsid w:val="000C3F9D"/>
    <w:rsid w:val="000C4CF4"/>
    <w:rsid w:val="000C4F60"/>
    <w:rsid w:val="000C6525"/>
    <w:rsid w:val="000C6BC4"/>
    <w:rsid w:val="000C7514"/>
    <w:rsid w:val="000D0210"/>
    <w:rsid w:val="000D0899"/>
    <w:rsid w:val="000D0CB8"/>
    <w:rsid w:val="000D0CEA"/>
    <w:rsid w:val="000D2203"/>
    <w:rsid w:val="000D347E"/>
    <w:rsid w:val="000D3A24"/>
    <w:rsid w:val="000D3D37"/>
    <w:rsid w:val="000D4AB0"/>
    <w:rsid w:val="000D687F"/>
    <w:rsid w:val="000D705B"/>
    <w:rsid w:val="000D7743"/>
    <w:rsid w:val="000D7879"/>
    <w:rsid w:val="000D79E2"/>
    <w:rsid w:val="000E1543"/>
    <w:rsid w:val="000E2AFD"/>
    <w:rsid w:val="000E3CAA"/>
    <w:rsid w:val="000E4641"/>
    <w:rsid w:val="000E46A1"/>
    <w:rsid w:val="000E62EA"/>
    <w:rsid w:val="000F0524"/>
    <w:rsid w:val="000F07DE"/>
    <w:rsid w:val="000F2AD5"/>
    <w:rsid w:val="000F2C55"/>
    <w:rsid w:val="000F2CEA"/>
    <w:rsid w:val="000F39E2"/>
    <w:rsid w:val="000F3BE8"/>
    <w:rsid w:val="000F44E8"/>
    <w:rsid w:val="000F4C63"/>
    <w:rsid w:val="000F535C"/>
    <w:rsid w:val="000F5E6B"/>
    <w:rsid w:val="000F6097"/>
    <w:rsid w:val="000F757A"/>
    <w:rsid w:val="001000C0"/>
    <w:rsid w:val="00101E46"/>
    <w:rsid w:val="00102371"/>
    <w:rsid w:val="001024DB"/>
    <w:rsid w:val="001041A3"/>
    <w:rsid w:val="00106CE9"/>
    <w:rsid w:val="001078DE"/>
    <w:rsid w:val="001109BE"/>
    <w:rsid w:val="0011143B"/>
    <w:rsid w:val="001117D7"/>
    <w:rsid w:val="001118D1"/>
    <w:rsid w:val="00112C41"/>
    <w:rsid w:val="00112D2C"/>
    <w:rsid w:val="0011375F"/>
    <w:rsid w:val="0011387C"/>
    <w:rsid w:val="0011487A"/>
    <w:rsid w:val="001174A3"/>
    <w:rsid w:val="00117A53"/>
    <w:rsid w:val="00120744"/>
    <w:rsid w:val="001218DD"/>
    <w:rsid w:val="001225E5"/>
    <w:rsid w:val="00122FA2"/>
    <w:rsid w:val="00122FC9"/>
    <w:rsid w:val="00123138"/>
    <w:rsid w:val="00123156"/>
    <w:rsid w:val="001236B7"/>
    <w:rsid w:val="00123701"/>
    <w:rsid w:val="00124AA3"/>
    <w:rsid w:val="00127796"/>
    <w:rsid w:val="00130DFE"/>
    <w:rsid w:val="00131811"/>
    <w:rsid w:val="00131B23"/>
    <w:rsid w:val="00132C64"/>
    <w:rsid w:val="001338A0"/>
    <w:rsid w:val="0013582E"/>
    <w:rsid w:val="0013602D"/>
    <w:rsid w:val="001362BB"/>
    <w:rsid w:val="001374F1"/>
    <w:rsid w:val="00140B94"/>
    <w:rsid w:val="001419AB"/>
    <w:rsid w:val="0014228D"/>
    <w:rsid w:val="00142755"/>
    <w:rsid w:val="001427CE"/>
    <w:rsid w:val="00142AE7"/>
    <w:rsid w:val="0014417D"/>
    <w:rsid w:val="0014447A"/>
    <w:rsid w:val="00145770"/>
    <w:rsid w:val="00145BB5"/>
    <w:rsid w:val="00145DD0"/>
    <w:rsid w:val="00150A55"/>
    <w:rsid w:val="00150B2F"/>
    <w:rsid w:val="0015179C"/>
    <w:rsid w:val="00155857"/>
    <w:rsid w:val="00155969"/>
    <w:rsid w:val="00155C12"/>
    <w:rsid w:val="0015675C"/>
    <w:rsid w:val="001571FF"/>
    <w:rsid w:val="001575F3"/>
    <w:rsid w:val="0016114B"/>
    <w:rsid w:val="00161626"/>
    <w:rsid w:val="00162392"/>
    <w:rsid w:val="00163862"/>
    <w:rsid w:val="00165506"/>
    <w:rsid w:val="00165B35"/>
    <w:rsid w:val="00166D19"/>
    <w:rsid w:val="00167311"/>
    <w:rsid w:val="00167983"/>
    <w:rsid w:val="0017085E"/>
    <w:rsid w:val="001715FD"/>
    <w:rsid w:val="0017176E"/>
    <w:rsid w:val="00172F96"/>
    <w:rsid w:val="00173522"/>
    <w:rsid w:val="00174159"/>
    <w:rsid w:val="00174FE2"/>
    <w:rsid w:val="00177F57"/>
    <w:rsid w:val="00180011"/>
    <w:rsid w:val="001800A3"/>
    <w:rsid w:val="001804A2"/>
    <w:rsid w:val="00181968"/>
    <w:rsid w:val="001831B7"/>
    <w:rsid w:val="00183445"/>
    <w:rsid w:val="0018348B"/>
    <w:rsid w:val="00183BED"/>
    <w:rsid w:val="0018423D"/>
    <w:rsid w:val="00184B60"/>
    <w:rsid w:val="00185755"/>
    <w:rsid w:val="0018756C"/>
    <w:rsid w:val="00187AAB"/>
    <w:rsid w:val="00190B25"/>
    <w:rsid w:val="001925B9"/>
    <w:rsid w:val="001934EE"/>
    <w:rsid w:val="00195660"/>
    <w:rsid w:val="00195C91"/>
    <w:rsid w:val="00196073"/>
    <w:rsid w:val="00197A60"/>
    <w:rsid w:val="001A054E"/>
    <w:rsid w:val="001A0C77"/>
    <w:rsid w:val="001A120A"/>
    <w:rsid w:val="001A23A4"/>
    <w:rsid w:val="001A2EB2"/>
    <w:rsid w:val="001A30F8"/>
    <w:rsid w:val="001A40F3"/>
    <w:rsid w:val="001A4693"/>
    <w:rsid w:val="001A4DCC"/>
    <w:rsid w:val="001A5AD3"/>
    <w:rsid w:val="001A64A7"/>
    <w:rsid w:val="001A6F54"/>
    <w:rsid w:val="001B01EE"/>
    <w:rsid w:val="001B0552"/>
    <w:rsid w:val="001B0D39"/>
    <w:rsid w:val="001B1501"/>
    <w:rsid w:val="001B1F50"/>
    <w:rsid w:val="001B2315"/>
    <w:rsid w:val="001B2321"/>
    <w:rsid w:val="001B2AB4"/>
    <w:rsid w:val="001B3083"/>
    <w:rsid w:val="001B31FC"/>
    <w:rsid w:val="001B6427"/>
    <w:rsid w:val="001B7146"/>
    <w:rsid w:val="001B721E"/>
    <w:rsid w:val="001C030B"/>
    <w:rsid w:val="001C099A"/>
    <w:rsid w:val="001C0B11"/>
    <w:rsid w:val="001C2372"/>
    <w:rsid w:val="001C2DB4"/>
    <w:rsid w:val="001C3BC1"/>
    <w:rsid w:val="001C562F"/>
    <w:rsid w:val="001C7645"/>
    <w:rsid w:val="001C7CB3"/>
    <w:rsid w:val="001D04D4"/>
    <w:rsid w:val="001D0BC4"/>
    <w:rsid w:val="001D25D5"/>
    <w:rsid w:val="001D33D4"/>
    <w:rsid w:val="001D4379"/>
    <w:rsid w:val="001D4B59"/>
    <w:rsid w:val="001D5D94"/>
    <w:rsid w:val="001D732B"/>
    <w:rsid w:val="001E0076"/>
    <w:rsid w:val="001E19B5"/>
    <w:rsid w:val="001E2583"/>
    <w:rsid w:val="001E3071"/>
    <w:rsid w:val="001E310D"/>
    <w:rsid w:val="001E32A1"/>
    <w:rsid w:val="001E3B70"/>
    <w:rsid w:val="001E3CE6"/>
    <w:rsid w:val="001E409F"/>
    <w:rsid w:val="001E71F3"/>
    <w:rsid w:val="001F2500"/>
    <w:rsid w:val="001F41A5"/>
    <w:rsid w:val="001F56E0"/>
    <w:rsid w:val="001F5C30"/>
    <w:rsid w:val="001F6264"/>
    <w:rsid w:val="002006C9"/>
    <w:rsid w:val="002012FD"/>
    <w:rsid w:val="0020159D"/>
    <w:rsid w:val="0020195A"/>
    <w:rsid w:val="00201CE1"/>
    <w:rsid w:val="00202EDE"/>
    <w:rsid w:val="002036D1"/>
    <w:rsid w:val="00204392"/>
    <w:rsid w:val="00205917"/>
    <w:rsid w:val="00205A0E"/>
    <w:rsid w:val="00205FAE"/>
    <w:rsid w:val="00206E98"/>
    <w:rsid w:val="0020792E"/>
    <w:rsid w:val="00207E27"/>
    <w:rsid w:val="00210511"/>
    <w:rsid w:val="002105D1"/>
    <w:rsid w:val="00211094"/>
    <w:rsid w:val="00211264"/>
    <w:rsid w:val="0021194C"/>
    <w:rsid w:val="00211A0A"/>
    <w:rsid w:val="002124CA"/>
    <w:rsid w:val="00213FB8"/>
    <w:rsid w:val="0021445D"/>
    <w:rsid w:val="00214CAF"/>
    <w:rsid w:val="00215E6D"/>
    <w:rsid w:val="002161FC"/>
    <w:rsid w:val="002178A5"/>
    <w:rsid w:val="00220392"/>
    <w:rsid w:val="00220C5D"/>
    <w:rsid w:val="002211E8"/>
    <w:rsid w:val="00221BB4"/>
    <w:rsid w:val="00222559"/>
    <w:rsid w:val="002233EE"/>
    <w:rsid w:val="00223E1D"/>
    <w:rsid w:val="00224283"/>
    <w:rsid w:val="00225408"/>
    <w:rsid w:val="002259B9"/>
    <w:rsid w:val="00225D47"/>
    <w:rsid w:val="00226299"/>
    <w:rsid w:val="00227456"/>
    <w:rsid w:val="00227AF4"/>
    <w:rsid w:val="002318A5"/>
    <w:rsid w:val="00232223"/>
    <w:rsid w:val="0023227B"/>
    <w:rsid w:val="00232A91"/>
    <w:rsid w:val="00232D84"/>
    <w:rsid w:val="00232E2D"/>
    <w:rsid w:val="00235BCC"/>
    <w:rsid w:val="0023608C"/>
    <w:rsid w:val="00236420"/>
    <w:rsid w:val="00236881"/>
    <w:rsid w:val="002368F4"/>
    <w:rsid w:val="00237F48"/>
    <w:rsid w:val="0024014C"/>
    <w:rsid w:val="002411B9"/>
    <w:rsid w:val="0024144A"/>
    <w:rsid w:val="00242B76"/>
    <w:rsid w:val="00243023"/>
    <w:rsid w:val="00243544"/>
    <w:rsid w:val="00245549"/>
    <w:rsid w:val="0025058A"/>
    <w:rsid w:val="002509F8"/>
    <w:rsid w:val="00250E6B"/>
    <w:rsid w:val="00251EFE"/>
    <w:rsid w:val="00252A48"/>
    <w:rsid w:val="00252AD6"/>
    <w:rsid w:val="00254064"/>
    <w:rsid w:val="0025558B"/>
    <w:rsid w:val="00257090"/>
    <w:rsid w:val="00257BA1"/>
    <w:rsid w:val="00260BCE"/>
    <w:rsid w:val="00260C21"/>
    <w:rsid w:val="00261A51"/>
    <w:rsid w:val="00261FA9"/>
    <w:rsid w:val="00263FAE"/>
    <w:rsid w:val="0026472E"/>
    <w:rsid w:val="002654C9"/>
    <w:rsid w:val="002669CD"/>
    <w:rsid w:val="00266C4E"/>
    <w:rsid w:val="00266D16"/>
    <w:rsid w:val="00267054"/>
    <w:rsid w:val="00267189"/>
    <w:rsid w:val="00267865"/>
    <w:rsid w:val="00267B51"/>
    <w:rsid w:val="00270804"/>
    <w:rsid w:val="00270848"/>
    <w:rsid w:val="00270A8B"/>
    <w:rsid w:val="0027161D"/>
    <w:rsid w:val="00271C00"/>
    <w:rsid w:val="00272AAB"/>
    <w:rsid w:val="00272C6D"/>
    <w:rsid w:val="00272DB8"/>
    <w:rsid w:val="00272ED8"/>
    <w:rsid w:val="002746FC"/>
    <w:rsid w:val="00274BD2"/>
    <w:rsid w:val="00274C5D"/>
    <w:rsid w:val="002754F2"/>
    <w:rsid w:val="00275A38"/>
    <w:rsid w:val="0027621F"/>
    <w:rsid w:val="00276394"/>
    <w:rsid w:val="00277386"/>
    <w:rsid w:val="002803F8"/>
    <w:rsid w:val="0028092C"/>
    <w:rsid w:val="00280CB2"/>
    <w:rsid w:val="00281EB5"/>
    <w:rsid w:val="002824A5"/>
    <w:rsid w:val="0028327B"/>
    <w:rsid w:val="00283535"/>
    <w:rsid w:val="0028361F"/>
    <w:rsid w:val="00283DB4"/>
    <w:rsid w:val="00283E1F"/>
    <w:rsid w:val="002850CC"/>
    <w:rsid w:val="0028519A"/>
    <w:rsid w:val="002853BD"/>
    <w:rsid w:val="0028591D"/>
    <w:rsid w:val="002864F4"/>
    <w:rsid w:val="00287FA6"/>
    <w:rsid w:val="0029158C"/>
    <w:rsid w:val="00291D61"/>
    <w:rsid w:val="00292BEB"/>
    <w:rsid w:val="0029401D"/>
    <w:rsid w:val="002941F5"/>
    <w:rsid w:val="002945C0"/>
    <w:rsid w:val="00295B71"/>
    <w:rsid w:val="0029727A"/>
    <w:rsid w:val="00297674"/>
    <w:rsid w:val="002977A7"/>
    <w:rsid w:val="002A0062"/>
    <w:rsid w:val="002A09E6"/>
    <w:rsid w:val="002A0D41"/>
    <w:rsid w:val="002A0ECF"/>
    <w:rsid w:val="002A195F"/>
    <w:rsid w:val="002A681F"/>
    <w:rsid w:val="002A6CA1"/>
    <w:rsid w:val="002A707A"/>
    <w:rsid w:val="002A7FDE"/>
    <w:rsid w:val="002B1432"/>
    <w:rsid w:val="002B15C8"/>
    <w:rsid w:val="002B1BB1"/>
    <w:rsid w:val="002B2152"/>
    <w:rsid w:val="002B22E1"/>
    <w:rsid w:val="002B29EB"/>
    <w:rsid w:val="002B3466"/>
    <w:rsid w:val="002B4A4C"/>
    <w:rsid w:val="002B512D"/>
    <w:rsid w:val="002B5D42"/>
    <w:rsid w:val="002B7396"/>
    <w:rsid w:val="002C092C"/>
    <w:rsid w:val="002C25F3"/>
    <w:rsid w:val="002C2709"/>
    <w:rsid w:val="002C3750"/>
    <w:rsid w:val="002C4053"/>
    <w:rsid w:val="002C4164"/>
    <w:rsid w:val="002C446D"/>
    <w:rsid w:val="002C4FF5"/>
    <w:rsid w:val="002C533C"/>
    <w:rsid w:val="002C67B8"/>
    <w:rsid w:val="002C700E"/>
    <w:rsid w:val="002C7F9C"/>
    <w:rsid w:val="002D142B"/>
    <w:rsid w:val="002D1821"/>
    <w:rsid w:val="002D2F42"/>
    <w:rsid w:val="002D4FC9"/>
    <w:rsid w:val="002D525A"/>
    <w:rsid w:val="002D5EFD"/>
    <w:rsid w:val="002D6286"/>
    <w:rsid w:val="002D72B5"/>
    <w:rsid w:val="002D7F38"/>
    <w:rsid w:val="002E0270"/>
    <w:rsid w:val="002E100A"/>
    <w:rsid w:val="002E11CA"/>
    <w:rsid w:val="002E14B2"/>
    <w:rsid w:val="002E1A3A"/>
    <w:rsid w:val="002E1E33"/>
    <w:rsid w:val="002E20A6"/>
    <w:rsid w:val="002E238C"/>
    <w:rsid w:val="002E2C27"/>
    <w:rsid w:val="002E31E5"/>
    <w:rsid w:val="002E31FA"/>
    <w:rsid w:val="002E3C39"/>
    <w:rsid w:val="002E5902"/>
    <w:rsid w:val="002E647E"/>
    <w:rsid w:val="002E69AC"/>
    <w:rsid w:val="002E6FF9"/>
    <w:rsid w:val="002F0022"/>
    <w:rsid w:val="002F0655"/>
    <w:rsid w:val="002F0FF9"/>
    <w:rsid w:val="002F2094"/>
    <w:rsid w:val="002F3D21"/>
    <w:rsid w:val="002F4E97"/>
    <w:rsid w:val="002F7EE2"/>
    <w:rsid w:val="003005C0"/>
    <w:rsid w:val="003007AE"/>
    <w:rsid w:val="003013F7"/>
    <w:rsid w:val="0030316C"/>
    <w:rsid w:val="0030521C"/>
    <w:rsid w:val="00305A90"/>
    <w:rsid w:val="00306FF1"/>
    <w:rsid w:val="0030705D"/>
    <w:rsid w:val="00310D13"/>
    <w:rsid w:val="00311A95"/>
    <w:rsid w:val="003127B8"/>
    <w:rsid w:val="00313B6F"/>
    <w:rsid w:val="00313DCC"/>
    <w:rsid w:val="00313FDE"/>
    <w:rsid w:val="00314375"/>
    <w:rsid w:val="00314C0F"/>
    <w:rsid w:val="0031661B"/>
    <w:rsid w:val="00316AAF"/>
    <w:rsid w:val="003175CD"/>
    <w:rsid w:val="003177DD"/>
    <w:rsid w:val="00320817"/>
    <w:rsid w:val="00320832"/>
    <w:rsid w:val="00321589"/>
    <w:rsid w:val="00321835"/>
    <w:rsid w:val="00321FD1"/>
    <w:rsid w:val="003225D4"/>
    <w:rsid w:val="00322E4D"/>
    <w:rsid w:val="00323B88"/>
    <w:rsid w:val="00325970"/>
    <w:rsid w:val="00326295"/>
    <w:rsid w:val="00326CFE"/>
    <w:rsid w:val="003276FC"/>
    <w:rsid w:val="00331648"/>
    <w:rsid w:val="003326C3"/>
    <w:rsid w:val="00332C11"/>
    <w:rsid w:val="00334454"/>
    <w:rsid w:val="00334980"/>
    <w:rsid w:val="00334E00"/>
    <w:rsid w:val="00335777"/>
    <w:rsid w:val="003362EB"/>
    <w:rsid w:val="00336604"/>
    <w:rsid w:val="003366B5"/>
    <w:rsid w:val="00337998"/>
    <w:rsid w:val="0034051E"/>
    <w:rsid w:val="00340E53"/>
    <w:rsid w:val="003410B0"/>
    <w:rsid w:val="003423F7"/>
    <w:rsid w:val="0034286A"/>
    <w:rsid w:val="00342B40"/>
    <w:rsid w:val="00342EF9"/>
    <w:rsid w:val="00343586"/>
    <w:rsid w:val="0034373A"/>
    <w:rsid w:val="00344D3B"/>
    <w:rsid w:val="003457CC"/>
    <w:rsid w:val="003459AB"/>
    <w:rsid w:val="00345AF8"/>
    <w:rsid w:val="003477F8"/>
    <w:rsid w:val="00347AFA"/>
    <w:rsid w:val="00350F63"/>
    <w:rsid w:val="00351275"/>
    <w:rsid w:val="00352577"/>
    <w:rsid w:val="0035265A"/>
    <w:rsid w:val="00353884"/>
    <w:rsid w:val="00354CC0"/>
    <w:rsid w:val="00356A80"/>
    <w:rsid w:val="00356B44"/>
    <w:rsid w:val="00356D4D"/>
    <w:rsid w:val="00357D08"/>
    <w:rsid w:val="00360ACF"/>
    <w:rsid w:val="0036254A"/>
    <w:rsid w:val="0036310E"/>
    <w:rsid w:val="003631BB"/>
    <w:rsid w:val="003632B2"/>
    <w:rsid w:val="00363608"/>
    <w:rsid w:val="0036628E"/>
    <w:rsid w:val="00366AD0"/>
    <w:rsid w:val="003673FC"/>
    <w:rsid w:val="00367853"/>
    <w:rsid w:val="00367960"/>
    <w:rsid w:val="00367A03"/>
    <w:rsid w:val="003703E1"/>
    <w:rsid w:val="0037066F"/>
    <w:rsid w:val="00370B45"/>
    <w:rsid w:val="00370DD7"/>
    <w:rsid w:val="003713CA"/>
    <w:rsid w:val="00373B16"/>
    <w:rsid w:val="00373E5E"/>
    <w:rsid w:val="00374519"/>
    <w:rsid w:val="00376E4C"/>
    <w:rsid w:val="003802AC"/>
    <w:rsid w:val="0038075C"/>
    <w:rsid w:val="00380868"/>
    <w:rsid w:val="00381FF4"/>
    <w:rsid w:val="003829B1"/>
    <w:rsid w:val="00383F36"/>
    <w:rsid w:val="00385365"/>
    <w:rsid w:val="00385597"/>
    <w:rsid w:val="00385610"/>
    <w:rsid w:val="00385D49"/>
    <w:rsid w:val="003861FE"/>
    <w:rsid w:val="0038648A"/>
    <w:rsid w:val="003869E1"/>
    <w:rsid w:val="00391BAB"/>
    <w:rsid w:val="00392B68"/>
    <w:rsid w:val="003942D7"/>
    <w:rsid w:val="003948DF"/>
    <w:rsid w:val="0039553D"/>
    <w:rsid w:val="003974BF"/>
    <w:rsid w:val="00397811"/>
    <w:rsid w:val="00397B9E"/>
    <w:rsid w:val="003A1CF8"/>
    <w:rsid w:val="003A266A"/>
    <w:rsid w:val="003A365F"/>
    <w:rsid w:val="003A3C0C"/>
    <w:rsid w:val="003A44D0"/>
    <w:rsid w:val="003A4E0F"/>
    <w:rsid w:val="003A54E2"/>
    <w:rsid w:val="003B3663"/>
    <w:rsid w:val="003B5A0C"/>
    <w:rsid w:val="003B5B4F"/>
    <w:rsid w:val="003B7244"/>
    <w:rsid w:val="003C0474"/>
    <w:rsid w:val="003C05FF"/>
    <w:rsid w:val="003C1B79"/>
    <w:rsid w:val="003C1F68"/>
    <w:rsid w:val="003C1FB1"/>
    <w:rsid w:val="003C23E7"/>
    <w:rsid w:val="003C326B"/>
    <w:rsid w:val="003C360E"/>
    <w:rsid w:val="003C5758"/>
    <w:rsid w:val="003C58D6"/>
    <w:rsid w:val="003C7AA8"/>
    <w:rsid w:val="003D0985"/>
    <w:rsid w:val="003D2242"/>
    <w:rsid w:val="003D25E1"/>
    <w:rsid w:val="003D33E2"/>
    <w:rsid w:val="003D37D2"/>
    <w:rsid w:val="003D5440"/>
    <w:rsid w:val="003D5D36"/>
    <w:rsid w:val="003D610C"/>
    <w:rsid w:val="003D7407"/>
    <w:rsid w:val="003D7A82"/>
    <w:rsid w:val="003E0636"/>
    <w:rsid w:val="003E12CE"/>
    <w:rsid w:val="003E1A95"/>
    <w:rsid w:val="003E22E1"/>
    <w:rsid w:val="003E23F5"/>
    <w:rsid w:val="003E49D7"/>
    <w:rsid w:val="003E4C92"/>
    <w:rsid w:val="003E4D49"/>
    <w:rsid w:val="003E652F"/>
    <w:rsid w:val="003F0010"/>
    <w:rsid w:val="003F0CDC"/>
    <w:rsid w:val="003F289E"/>
    <w:rsid w:val="003F2E50"/>
    <w:rsid w:val="003F3A13"/>
    <w:rsid w:val="003F3F46"/>
    <w:rsid w:val="003F4289"/>
    <w:rsid w:val="003F4C2E"/>
    <w:rsid w:val="003F5199"/>
    <w:rsid w:val="003F5654"/>
    <w:rsid w:val="003F5A3B"/>
    <w:rsid w:val="003F5F4D"/>
    <w:rsid w:val="003F6748"/>
    <w:rsid w:val="003F680D"/>
    <w:rsid w:val="003F6AC9"/>
    <w:rsid w:val="003F6FD0"/>
    <w:rsid w:val="00401248"/>
    <w:rsid w:val="004040F9"/>
    <w:rsid w:val="00404FC7"/>
    <w:rsid w:val="00404FD2"/>
    <w:rsid w:val="00405D1D"/>
    <w:rsid w:val="004065FF"/>
    <w:rsid w:val="004107DF"/>
    <w:rsid w:val="00412912"/>
    <w:rsid w:val="00412E43"/>
    <w:rsid w:val="0041394D"/>
    <w:rsid w:val="00413BE2"/>
    <w:rsid w:val="00414AE1"/>
    <w:rsid w:val="004209BC"/>
    <w:rsid w:val="00420BB4"/>
    <w:rsid w:val="00421F58"/>
    <w:rsid w:val="0042279B"/>
    <w:rsid w:val="00424254"/>
    <w:rsid w:val="0042449D"/>
    <w:rsid w:val="0042505B"/>
    <w:rsid w:val="00425EE1"/>
    <w:rsid w:val="00427574"/>
    <w:rsid w:val="00430C1E"/>
    <w:rsid w:val="00430D69"/>
    <w:rsid w:val="00431209"/>
    <w:rsid w:val="00432F99"/>
    <w:rsid w:val="0043417D"/>
    <w:rsid w:val="004344D5"/>
    <w:rsid w:val="00435072"/>
    <w:rsid w:val="004351D0"/>
    <w:rsid w:val="004352F7"/>
    <w:rsid w:val="00436B4C"/>
    <w:rsid w:val="0043738A"/>
    <w:rsid w:val="0043799C"/>
    <w:rsid w:val="004400CE"/>
    <w:rsid w:val="00440E88"/>
    <w:rsid w:val="00442966"/>
    <w:rsid w:val="00442B8C"/>
    <w:rsid w:val="00443530"/>
    <w:rsid w:val="004441FF"/>
    <w:rsid w:val="00444E52"/>
    <w:rsid w:val="00445150"/>
    <w:rsid w:val="0044612A"/>
    <w:rsid w:val="00446CF3"/>
    <w:rsid w:val="00447B57"/>
    <w:rsid w:val="00450B10"/>
    <w:rsid w:val="004520F7"/>
    <w:rsid w:val="00452380"/>
    <w:rsid w:val="00454E28"/>
    <w:rsid w:val="004559C2"/>
    <w:rsid w:val="00455CCC"/>
    <w:rsid w:val="0045603F"/>
    <w:rsid w:val="004561E9"/>
    <w:rsid w:val="00456678"/>
    <w:rsid w:val="00456F88"/>
    <w:rsid w:val="00460227"/>
    <w:rsid w:val="004605BE"/>
    <w:rsid w:val="0046107E"/>
    <w:rsid w:val="004611E3"/>
    <w:rsid w:val="00461904"/>
    <w:rsid w:val="00461C9F"/>
    <w:rsid w:val="00461E4E"/>
    <w:rsid w:val="00463A53"/>
    <w:rsid w:val="00464495"/>
    <w:rsid w:val="00464A41"/>
    <w:rsid w:val="0046523C"/>
    <w:rsid w:val="00465B8E"/>
    <w:rsid w:val="00467130"/>
    <w:rsid w:val="00470767"/>
    <w:rsid w:val="00471EE8"/>
    <w:rsid w:val="00474393"/>
    <w:rsid w:val="004749E4"/>
    <w:rsid w:val="00475404"/>
    <w:rsid w:val="004755AF"/>
    <w:rsid w:val="00475687"/>
    <w:rsid w:val="004758E9"/>
    <w:rsid w:val="00475E01"/>
    <w:rsid w:val="0047610E"/>
    <w:rsid w:val="004768A1"/>
    <w:rsid w:val="0047710C"/>
    <w:rsid w:val="00477F6B"/>
    <w:rsid w:val="004806F9"/>
    <w:rsid w:val="00480D62"/>
    <w:rsid w:val="004816EF"/>
    <w:rsid w:val="00481D4B"/>
    <w:rsid w:val="00482A8F"/>
    <w:rsid w:val="0048383D"/>
    <w:rsid w:val="00484D3B"/>
    <w:rsid w:val="00484E79"/>
    <w:rsid w:val="00484FBD"/>
    <w:rsid w:val="00485F08"/>
    <w:rsid w:val="00485F0D"/>
    <w:rsid w:val="00486A37"/>
    <w:rsid w:val="00486BD4"/>
    <w:rsid w:val="00487192"/>
    <w:rsid w:val="00487F60"/>
    <w:rsid w:val="004905DD"/>
    <w:rsid w:val="0049200B"/>
    <w:rsid w:val="0049298D"/>
    <w:rsid w:val="00492FD5"/>
    <w:rsid w:val="004932F3"/>
    <w:rsid w:val="00493388"/>
    <w:rsid w:val="00493698"/>
    <w:rsid w:val="00493DF3"/>
    <w:rsid w:val="0049475C"/>
    <w:rsid w:val="00495B0C"/>
    <w:rsid w:val="004A04F5"/>
    <w:rsid w:val="004A0E68"/>
    <w:rsid w:val="004A18D3"/>
    <w:rsid w:val="004A3108"/>
    <w:rsid w:val="004A3620"/>
    <w:rsid w:val="004A3A3A"/>
    <w:rsid w:val="004A3BC4"/>
    <w:rsid w:val="004A5867"/>
    <w:rsid w:val="004A776B"/>
    <w:rsid w:val="004B0F1F"/>
    <w:rsid w:val="004B2452"/>
    <w:rsid w:val="004B4088"/>
    <w:rsid w:val="004B4B2A"/>
    <w:rsid w:val="004B51D0"/>
    <w:rsid w:val="004B566C"/>
    <w:rsid w:val="004B573A"/>
    <w:rsid w:val="004B63CC"/>
    <w:rsid w:val="004B68F9"/>
    <w:rsid w:val="004B6C87"/>
    <w:rsid w:val="004B7160"/>
    <w:rsid w:val="004B73AB"/>
    <w:rsid w:val="004B79B6"/>
    <w:rsid w:val="004B7BFF"/>
    <w:rsid w:val="004B7ED3"/>
    <w:rsid w:val="004C0C0D"/>
    <w:rsid w:val="004C0C8A"/>
    <w:rsid w:val="004C143F"/>
    <w:rsid w:val="004C2B5C"/>
    <w:rsid w:val="004C320B"/>
    <w:rsid w:val="004C3821"/>
    <w:rsid w:val="004C3F10"/>
    <w:rsid w:val="004C5BD8"/>
    <w:rsid w:val="004C7F2D"/>
    <w:rsid w:val="004D10ED"/>
    <w:rsid w:val="004D114D"/>
    <w:rsid w:val="004D4D6B"/>
    <w:rsid w:val="004D54F4"/>
    <w:rsid w:val="004D5793"/>
    <w:rsid w:val="004D62A0"/>
    <w:rsid w:val="004E284F"/>
    <w:rsid w:val="004E2A30"/>
    <w:rsid w:val="004E2C78"/>
    <w:rsid w:val="004E49FC"/>
    <w:rsid w:val="004E5081"/>
    <w:rsid w:val="004E65C6"/>
    <w:rsid w:val="004E6B3C"/>
    <w:rsid w:val="004F0396"/>
    <w:rsid w:val="004F03D7"/>
    <w:rsid w:val="004F03FE"/>
    <w:rsid w:val="004F0A23"/>
    <w:rsid w:val="004F0C2D"/>
    <w:rsid w:val="004F1091"/>
    <w:rsid w:val="004F1AD4"/>
    <w:rsid w:val="004F1B4A"/>
    <w:rsid w:val="004F1E6C"/>
    <w:rsid w:val="004F328E"/>
    <w:rsid w:val="004F336A"/>
    <w:rsid w:val="004F53AA"/>
    <w:rsid w:val="004F67C2"/>
    <w:rsid w:val="004F6D48"/>
    <w:rsid w:val="004F7272"/>
    <w:rsid w:val="004F7C68"/>
    <w:rsid w:val="004F7D6F"/>
    <w:rsid w:val="004F7E07"/>
    <w:rsid w:val="004F7E43"/>
    <w:rsid w:val="005007A9"/>
    <w:rsid w:val="005016E9"/>
    <w:rsid w:val="005022C0"/>
    <w:rsid w:val="00502ADD"/>
    <w:rsid w:val="005067D0"/>
    <w:rsid w:val="00506B9D"/>
    <w:rsid w:val="00507E55"/>
    <w:rsid w:val="00510DD9"/>
    <w:rsid w:val="00511D20"/>
    <w:rsid w:val="0051309C"/>
    <w:rsid w:val="005136AF"/>
    <w:rsid w:val="00514277"/>
    <w:rsid w:val="0051454D"/>
    <w:rsid w:val="00514DFD"/>
    <w:rsid w:val="005152FD"/>
    <w:rsid w:val="00517BF0"/>
    <w:rsid w:val="0052047C"/>
    <w:rsid w:val="00521CEE"/>
    <w:rsid w:val="0052369E"/>
    <w:rsid w:val="00523B38"/>
    <w:rsid w:val="005243B6"/>
    <w:rsid w:val="00525614"/>
    <w:rsid w:val="00526DBD"/>
    <w:rsid w:val="00526F2A"/>
    <w:rsid w:val="00527BA5"/>
    <w:rsid w:val="00527F55"/>
    <w:rsid w:val="00530ADD"/>
    <w:rsid w:val="00530B9E"/>
    <w:rsid w:val="00531059"/>
    <w:rsid w:val="00531DB4"/>
    <w:rsid w:val="00532B9C"/>
    <w:rsid w:val="005331A1"/>
    <w:rsid w:val="00533497"/>
    <w:rsid w:val="00533AC5"/>
    <w:rsid w:val="00533B49"/>
    <w:rsid w:val="005343D0"/>
    <w:rsid w:val="005349B6"/>
    <w:rsid w:val="00541455"/>
    <w:rsid w:val="00541D7B"/>
    <w:rsid w:val="00544726"/>
    <w:rsid w:val="00544989"/>
    <w:rsid w:val="00544CB1"/>
    <w:rsid w:val="0054578C"/>
    <w:rsid w:val="005461DB"/>
    <w:rsid w:val="00546A49"/>
    <w:rsid w:val="00546B78"/>
    <w:rsid w:val="00550913"/>
    <w:rsid w:val="00551651"/>
    <w:rsid w:val="00551FB5"/>
    <w:rsid w:val="0055223C"/>
    <w:rsid w:val="005530AD"/>
    <w:rsid w:val="0055410F"/>
    <w:rsid w:val="0055666F"/>
    <w:rsid w:val="00556A61"/>
    <w:rsid w:val="005572BE"/>
    <w:rsid w:val="00557F52"/>
    <w:rsid w:val="00560E73"/>
    <w:rsid w:val="005612D9"/>
    <w:rsid w:val="00561D54"/>
    <w:rsid w:val="005632E5"/>
    <w:rsid w:val="00563665"/>
    <w:rsid w:val="005637C6"/>
    <w:rsid w:val="00563D33"/>
    <w:rsid w:val="005653C5"/>
    <w:rsid w:val="0056628B"/>
    <w:rsid w:val="0057043B"/>
    <w:rsid w:val="00571012"/>
    <w:rsid w:val="00571971"/>
    <w:rsid w:val="00572C3D"/>
    <w:rsid w:val="00573C97"/>
    <w:rsid w:val="00574048"/>
    <w:rsid w:val="00574846"/>
    <w:rsid w:val="00574B8D"/>
    <w:rsid w:val="005755B7"/>
    <w:rsid w:val="005757AA"/>
    <w:rsid w:val="00575F58"/>
    <w:rsid w:val="005771DD"/>
    <w:rsid w:val="00577A20"/>
    <w:rsid w:val="00577ADB"/>
    <w:rsid w:val="00577E12"/>
    <w:rsid w:val="0058065E"/>
    <w:rsid w:val="00581169"/>
    <w:rsid w:val="005814E3"/>
    <w:rsid w:val="00581C33"/>
    <w:rsid w:val="00581E59"/>
    <w:rsid w:val="00581FA9"/>
    <w:rsid w:val="0058248D"/>
    <w:rsid w:val="005827CA"/>
    <w:rsid w:val="0058292C"/>
    <w:rsid w:val="00582CA6"/>
    <w:rsid w:val="005841DD"/>
    <w:rsid w:val="005856E3"/>
    <w:rsid w:val="00586751"/>
    <w:rsid w:val="00586FEF"/>
    <w:rsid w:val="00587C7D"/>
    <w:rsid w:val="005908AD"/>
    <w:rsid w:val="00592AC9"/>
    <w:rsid w:val="00593BE1"/>
    <w:rsid w:val="005941FB"/>
    <w:rsid w:val="00594639"/>
    <w:rsid w:val="005975AA"/>
    <w:rsid w:val="00597E13"/>
    <w:rsid w:val="005A1959"/>
    <w:rsid w:val="005A3B92"/>
    <w:rsid w:val="005A4370"/>
    <w:rsid w:val="005A4902"/>
    <w:rsid w:val="005A4B40"/>
    <w:rsid w:val="005A5A32"/>
    <w:rsid w:val="005A6BCA"/>
    <w:rsid w:val="005A7900"/>
    <w:rsid w:val="005B005F"/>
    <w:rsid w:val="005B0EB7"/>
    <w:rsid w:val="005B2971"/>
    <w:rsid w:val="005B51A4"/>
    <w:rsid w:val="005B53BB"/>
    <w:rsid w:val="005B5C28"/>
    <w:rsid w:val="005B69EE"/>
    <w:rsid w:val="005B6D9F"/>
    <w:rsid w:val="005C2569"/>
    <w:rsid w:val="005C452B"/>
    <w:rsid w:val="005C486A"/>
    <w:rsid w:val="005C4BAD"/>
    <w:rsid w:val="005C4FAD"/>
    <w:rsid w:val="005C51EF"/>
    <w:rsid w:val="005C585D"/>
    <w:rsid w:val="005C6DAA"/>
    <w:rsid w:val="005C6FEC"/>
    <w:rsid w:val="005C75EC"/>
    <w:rsid w:val="005D00D2"/>
    <w:rsid w:val="005D1476"/>
    <w:rsid w:val="005D3681"/>
    <w:rsid w:val="005D37C4"/>
    <w:rsid w:val="005D4801"/>
    <w:rsid w:val="005D4826"/>
    <w:rsid w:val="005D4DE0"/>
    <w:rsid w:val="005D616D"/>
    <w:rsid w:val="005D68F1"/>
    <w:rsid w:val="005D70A4"/>
    <w:rsid w:val="005E00F7"/>
    <w:rsid w:val="005E301A"/>
    <w:rsid w:val="005E3470"/>
    <w:rsid w:val="005E3F45"/>
    <w:rsid w:val="005E4430"/>
    <w:rsid w:val="005E6269"/>
    <w:rsid w:val="005E6BD9"/>
    <w:rsid w:val="005E7369"/>
    <w:rsid w:val="005E75A0"/>
    <w:rsid w:val="005E760C"/>
    <w:rsid w:val="005F1847"/>
    <w:rsid w:val="005F2E36"/>
    <w:rsid w:val="005F364E"/>
    <w:rsid w:val="005F442C"/>
    <w:rsid w:val="005F4D29"/>
    <w:rsid w:val="005F51E7"/>
    <w:rsid w:val="005F5923"/>
    <w:rsid w:val="005F6599"/>
    <w:rsid w:val="005F72B5"/>
    <w:rsid w:val="005F7D0F"/>
    <w:rsid w:val="005F7DCD"/>
    <w:rsid w:val="00600526"/>
    <w:rsid w:val="00601BEF"/>
    <w:rsid w:val="0060214D"/>
    <w:rsid w:val="006023C3"/>
    <w:rsid w:val="00602E72"/>
    <w:rsid w:val="00603292"/>
    <w:rsid w:val="00603927"/>
    <w:rsid w:val="00603FAD"/>
    <w:rsid w:val="006046F3"/>
    <w:rsid w:val="00604CCB"/>
    <w:rsid w:val="00604FDD"/>
    <w:rsid w:val="006058D0"/>
    <w:rsid w:val="006060A8"/>
    <w:rsid w:val="00606BEF"/>
    <w:rsid w:val="006106A0"/>
    <w:rsid w:val="006108B5"/>
    <w:rsid w:val="00611BCF"/>
    <w:rsid w:val="00612337"/>
    <w:rsid w:val="00612A68"/>
    <w:rsid w:val="00612FCF"/>
    <w:rsid w:val="0061348F"/>
    <w:rsid w:val="0061384D"/>
    <w:rsid w:val="00613910"/>
    <w:rsid w:val="00613B7B"/>
    <w:rsid w:val="00614112"/>
    <w:rsid w:val="00615848"/>
    <w:rsid w:val="006158EA"/>
    <w:rsid w:val="00617065"/>
    <w:rsid w:val="00617B2D"/>
    <w:rsid w:val="00617D47"/>
    <w:rsid w:val="00621421"/>
    <w:rsid w:val="00621997"/>
    <w:rsid w:val="0062264F"/>
    <w:rsid w:val="006235A7"/>
    <w:rsid w:val="00623B6E"/>
    <w:rsid w:val="006244D8"/>
    <w:rsid w:val="00624B59"/>
    <w:rsid w:val="00624CE4"/>
    <w:rsid w:val="006256F3"/>
    <w:rsid w:val="00625870"/>
    <w:rsid w:val="00625B78"/>
    <w:rsid w:val="00626C26"/>
    <w:rsid w:val="00627698"/>
    <w:rsid w:val="00627E11"/>
    <w:rsid w:val="006317C8"/>
    <w:rsid w:val="0063181A"/>
    <w:rsid w:val="00631B91"/>
    <w:rsid w:val="006350F7"/>
    <w:rsid w:val="006352AC"/>
    <w:rsid w:val="006352FB"/>
    <w:rsid w:val="006356D4"/>
    <w:rsid w:val="006373D5"/>
    <w:rsid w:val="006404C0"/>
    <w:rsid w:val="006415D9"/>
    <w:rsid w:val="0064175A"/>
    <w:rsid w:val="00641796"/>
    <w:rsid w:val="00643757"/>
    <w:rsid w:val="00643CAF"/>
    <w:rsid w:val="00644D2C"/>
    <w:rsid w:val="00645394"/>
    <w:rsid w:val="0064568D"/>
    <w:rsid w:val="00645AAA"/>
    <w:rsid w:val="006465DB"/>
    <w:rsid w:val="006466E7"/>
    <w:rsid w:val="006467D6"/>
    <w:rsid w:val="00646B08"/>
    <w:rsid w:val="00650021"/>
    <w:rsid w:val="00652300"/>
    <w:rsid w:val="0065322E"/>
    <w:rsid w:val="0065568C"/>
    <w:rsid w:val="00655969"/>
    <w:rsid w:val="00656427"/>
    <w:rsid w:val="00657AC9"/>
    <w:rsid w:val="00657FF1"/>
    <w:rsid w:val="00660BC5"/>
    <w:rsid w:val="00661229"/>
    <w:rsid w:val="00661688"/>
    <w:rsid w:val="00662613"/>
    <w:rsid w:val="00662F5A"/>
    <w:rsid w:val="00664B56"/>
    <w:rsid w:val="00664B63"/>
    <w:rsid w:val="00664F24"/>
    <w:rsid w:val="00664F42"/>
    <w:rsid w:val="00665C64"/>
    <w:rsid w:val="0066637B"/>
    <w:rsid w:val="00670806"/>
    <w:rsid w:val="00670DA3"/>
    <w:rsid w:val="00671D84"/>
    <w:rsid w:val="00671EC7"/>
    <w:rsid w:val="00673CFB"/>
    <w:rsid w:val="00674B00"/>
    <w:rsid w:val="00676B78"/>
    <w:rsid w:val="00681025"/>
    <w:rsid w:val="00682239"/>
    <w:rsid w:val="006840BB"/>
    <w:rsid w:val="00684DCB"/>
    <w:rsid w:val="00685D80"/>
    <w:rsid w:val="006866F1"/>
    <w:rsid w:val="00687336"/>
    <w:rsid w:val="00691B1D"/>
    <w:rsid w:val="00692504"/>
    <w:rsid w:val="00692DE0"/>
    <w:rsid w:val="006935E7"/>
    <w:rsid w:val="00693D51"/>
    <w:rsid w:val="0069529A"/>
    <w:rsid w:val="006955D3"/>
    <w:rsid w:val="006956AB"/>
    <w:rsid w:val="00696BF1"/>
    <w:rsid w:val="006974FC"/>
    <w:rsid w:val="006979A9"/>
    <w:rsid w:val="006A00A1"/>
    <w:rsid w:val="006A0538"/>
    <w:rsid w:val="006A17D1"/>
    <w:rsid w:val="006A2511"/>
    <w:rsid w:val="006A2DBB"/>
    <w:rsid w:val="006A3258"/>
    <w:rsid w:val="006A38EF"/>
    <w:rsid w:val="006A5AF5"/>
    <w:rsid w:val="006A60B6"/>
    <w:rsid w:val="006B0788"/>
    <w:rsid w:val="006B0973"/>
    <w:rsid w:val="006B0FE5"/>
    <w:rsid w:val="006B1441"/>
    <w:rsid w:val="006B174C"/>
    <w:rsid w:val="006B3912"/>
    <w:rsid w:val="006B53DF"/>
    <w:rsid w:val="006B6CF7"/>
    <w:rsid w:val="006C0205"/>
    <w:rsid w:val="006C0A0A"/>
    <w:rsid w:val="006C36A6"/>
    <w:rsid w:val="006C3949"/>
    <w:rsid w:val="006C4509"/>
    <w:rsid w:val="006C4658"/>
    <w:rsid w:val="006C4CB4"/>
    <w:rsid w:val="006C5CC0"/>
    <w:rsid w:val="006C5EFF"/>
    <w:rsid w:val="006D053D"/>
    <w:rsid w:val="006D18D9"/>
    <w:rsid w:val="006D1E4D"/>
    <w:rsid w:val="006D2569"/>
    <w:rsid w:val="006D29B8"/>
    <w:rsid w:val="006D2C8F"/>
    <w:rsid w:val="006D3976"/>
    <w:rsid w:val="006D4E03"/>
    <w:rsid w:val="006D5671"/>
    <w:rsid w:val="006D57DD"/>
    <w:rsid w:val="006D668A"/>
    <w:rsid w:val="006D704B"/>
    <w:rsid w:val="006D76AA"/>
    <w:rsid w:val="006E111B"/>
    <w:rsid w:val="006E41B8"/>
    <w:rsid w:val="006E4D75"/>
    <w:rsid w:val="006E558F"/>
    <w:rsid w:val="006E6ACC"/>
    <w:rsid w:val="006E7FE1"/>
    <w:rsid w:val="006F0ED0"/>
    <w:rsid w:val="006F17F5"/>
    <w:rsid w:val="006F220E"/>
    <w:rsid w:val="006F2815"/>
    <w:rsid w:val="006F29DF"/>
    <w:rsid w:val="006F3074"/>
    <w:rsid w:val="006F396A"/>
    <w:rsid w:val="006F3F99"/>
    <w:rsid w:val="006F43AD"/>
    <w:rsid w:val="006F57D7"/>
    <w:rsid w:val="006F7A0B"/>
    <w:rsid w:val="006F7D05"/>
    <w:rsid w:val="00700BD1"/>
    <w:rsid w:val="00701CC5"/>
    <w:rsid w:val="007025F7"/>
    <w:rsid w:val="00702F4B"/>
    <w:rsid w:val="007055F0"/>
    <w:rsid w:val="0070685A"/>
    <w:rsid w:val="00706CC4"/>
    <w:rsid w:val="007107CC"/>
    <w:rsid w:val="00710EC8"/>
    <w:rsid w:val="00711099"/>
    <w:rsid w:val="00711B50"/>
    <w:rsid w:val="007124B7"/>
    <w:rsid w:val="007132AD"/>
    <w:rsid w:val="00713594"/>
    <w:rsid w:val="00713D64"/>
    <w:rsid w:val="00713DBD"/>
    <w:rsid w:val="00713EA4"/>
    <w:rsid w:val="007145D9"/>
    <w:rsid w:val="007155B5"/>
    <w:rsid w:val="0071579E"/>
    <w:rsid w:val="00716204"/>
    <w:rsid w:val="007166CF"/>
    <w:rsid w:val="00716E35"/>
    <w:rsid w:val="00716F4A"/>
    <w:rsid w:val="00716FC4"/>
    <w:rsid w:val="00721046"/>
    <w:rsid w:val="0072138D"/>
    <w:rsid w:val="00721613"/>
    <w:rsid w:val="00722541"/>
    <w:rsid w:val="00722642"/>
    <w:rsid w:val="0072273A"/>
    <w:rsid w:val="007227A2"/>
    <w:rsid w:val="00722EC3"/>
    <w:rsid w:val="00723139"/>
    <w:rsid w:val="0072382F"/>
    <w:rsid w:val="00724598"/>
    <w:rsid w:val="007254EE"/>
    <w:rsid w:val="00726B3F"/>
    <w:rsid w:val="00727091"/>
    <w:rsid w:val="0072718B"/>
    <w:rsid w:val="00727C22"/>
    <w:rsid w:val="00727F80"/>
    <w:rsid w:val="00731B44"/>
    <w:rsid w:val="00731C02"/>
    <w:rsid w:val="0073258B"/>
    <w:rsid w:val="00732F4E"/>
    <w:rsid w:val="0073590A"/>
    <w:rsid w:val="0073672F"/>
    <w:rsid w:val="007369CE"/>
    <w:rsid w:val="00737326"/>
    <w:rsid w:val="0073739D"/>
    <w:rsid w:val="00737EB3"/>
    <w:rsid w:val="0074173D"/>
    <w:rsid w:val="00741D8D"/>
    <w:rsid w:val="00742C17"/>
    <w:rsid w:val="00743492"/>
    <w:rsid w:val="007434CF"/>
    <w:rsid w:val="00744559"/>
    <w:rsid w:val="007453B9"/>
    <w:rsid w:val="007459E6"/>
    <w:rsid w:val="00745FF3"/>
    <w:rsid w:val="00746EB6"/>
    <w:rsid w:val="00747672"/>
    <w:rsid w:val="007479CE"/>
    <w:rsid w:val="00751A53"/>
    <w:rsid w:val="00752D59"/>
    <w:rsid w:val="007531AB"/>
    <w:rsid w:val="007538B5"/>
    <w:rsid w:val="00754303"/>
    <w:rsid w:val="0075436E"/>
    <w:rsid w:val="007554AB"/>
    <w:rsid w:val="00755AB7"/>
    <w:rsid w:val="00757138"/>
    <w:rsid w:val="00757BAA"/>
    <w:rsid w:val="00762227"/>
    <w:rsid w:val="00764C56"/>
    <w:rsid w:val="00764D0D"/>
    <w:rsid w:val="00764F29"/>
    <w:rsid w:val="0076513B"/>
    <w:rsid w:val="00765302"/>
    <w:rsid w:val="00765DC8"/>
    <w:rsid w:val="007661B5"/>
    <w:rsid w:val="00766FB3"/>
    <w:rsid w:val="00770560"/>
    <w:rsid w:val="00772C84"/>
    <w:rsid w:val="00772CAD"/>
    <w:rsid w:val="00772DE6"/>
    <w:rsid w:val="00772ED0"/>
    <w:rsid w:val="00773F2B"/>
    <w:rsid w:val="0077452C"/>
    <w:rsid w:val="0077477B"/>
    <w:rsid w:val="0077597C"/>
    <w:rsid w:val="00775C06"/>
    <w:rsid w:val="00783DDF"/>
    <w:rsid w:val="00784FBD"/>
    <w:rsid w:val="00786C28"/>
    <w:rsid w:val="00787177"/>
    <w:rsid w:val="00787B54"/>
    <w:rsid w:val="007904B9"/>
    <w:rsid w:val="007913D5"/>
    <w:rsid w:val="00791E89"/>
    <w:rsid w:val="00792461"/>
    <w:rsid w:val="007925CF"/>
    <w:rsid w:val="00792D1B"/>
    <w:rsid w:val="00793092"/>
    <w:rsid w:val="00794784"/>
    <w:rsid w:val="00794BCC"/>
    <w:rsid w:val="00794ED0"/>
    <w:rsid w:val="007951EC"/>
    <w:rsid w:val="00796027"/>
    <w:rsid w:val="007A0AFA"/>
    <w:rsid w:val="007A20BA"/>
    <w:rsid w:val="007A2B0A"/>
    <w:rsid w:val="007A2F7B"/>
    <w:rsid w:val="007A513B"/>
    <w:rsid w:val="007A5BC0"/>
    <w:rsid w:val="007A6A0E"/>
    <w:rsid w:val="007B43DC"/>
    <w:rsid w:val="007B4578"/>
    <w:rsid w:val="007B47A9"/>
    <w:rsid w:val="007B573A"/>
    <w:rsid w:val="007B5CB7"/>
    <w:rsid w:val="007B68E5"/>
    <w:rsid w:val="007B69B8"/>
    <w:rsid w:val="007B6A4A"/>
    <w:rsid w:val="007C0774"/>
    <w:rsid w:val="007C0D97"/>
    <w:rsid w:val="007C153F"/>
    <w:rsid w:val="007C1E62"/>
    <w:rsid w:val="007C1F5A"/>
    <w:rsid w:val="007C2224"/>
    <w:rsid w:val="007C5451"/>
    <w:rsid w:val="007C5534"/>
    <w:rsid w:val="007C7329"/>
    <w:rsid w:val="007C7D15"/>
    <w:rsid w:val="007D0D48"/>
    <w:rsid w:val="007D1C66"/>
    <w:rsid w:val="007D34C2"/>
    <w:rsid w:val="007D4B88"/>
    <w:rsid w:val="007D5F44"/>
    <w:rsid w:val="007D6FE6"/>
    <w:rsid w:val="007E27B8"/>
    <w:rsid w:val="007E3184"/>
    <w:rsid w:val="007E65E9"/>
    <w:rsid w:val="007F0225"/>
    <w:rsid w:val="007F1794"/>
    <w:rsid w:val="007F1842"/>
    <w:rsid w:val="007F21EC"/>
    <w:rsid w:val="007F3290"/>
    <w:rsid w:val="007F40EB"/>
    <w:rsid w:val="007F418E"/>
    <w:rsid w:val="007F4E06"/>
    <w:rsid w:val="007F4F22"/>
    <w:rsid w:val="007F5B37"/>
    <w:rsid w:val="007F5B3C"/>
    <w:rsid w:val="007F5F31"/>
    <w:rsid w:val="007F7141"/>
    <w:rsid w:val="007F74D8"/>
    <w:rsid w:val="00800910"/>
    <w:rsid w:val="00801065"/>
    <w:rsid w:val="0080246F"/>
    <w:rsid w:val="00803073"/>
    <w:rsid w:val="008035D6"/>
    <w:rsid w:val="00803A37"/>
    <w:rsid w:val="0080493F"/>
    <w:rsid w:val="0080573F"/>
    <w:rsid w:val="008069B0"/>
    <w:rsid w:val="00806F01"/>
    <w:rsid w:val="008079B4"/>
    <w:rsid w:val="00807C3C"/>
    <w:rsid w:val="00810B04"/>
    <w:rsid w:val="00811145"/>
    <w:rsid w:val="0081175C"/>
    <w:rsid w:val="00811CDF"/>
    <w:rsid w:val="00812264"/>
    <w:rsid w:val="00813772"/>
    <w:rsid w:val="008138AE"/>
    <w:rsid w:val="008140C7"/>
    <w:rsid w:val="00814D3B"/>
    <w:rsid w:val="00814F65"/>
    <w:rsid w:val="00816846"/>
    <w:rsid w:val="008178DF"/>
    <w:rsid w:val="00817A22"/>
    <w:rsid w:val="00817B37"/>
    <w:rsid w:val="0082073F"/>
    <w:rsid w:val="00820803"/>
    <w:rsid w:val="00822562"/>
    <w:rsid w:val="0082401A"/>
    <w:rsid w:val="00824C36"/>
    <w:rsid w:val="00825C8F"/>
    <w:rsid w:val="00826380"/>
    <w:rsid w:val="0082647E"/>
    <w:rsid w:val="0083001F"/>
    <w:rsid w:val="00830B4E"/>
    <w:rsid w:val="008314E3"/>
    <w:rsid w:val="00831943"/>
    <w:rsid w:val="00832AA8"/>
    <w:rsid w:val="008369F7"/>
    <w:rsid w:val="00836B00"/>
    <w:rsid w:val="00836E32"/>
    <w:rsid w:val="00837094"/>
    <w:rsid w:val="00837471"/>
    <w:rsid w:val="00840345"/>
    <w:rsid w:val="0084051E"/>
    <w:rsid w:val="00840764"/>
    <w:rsid w:val="00840A59"/>
    <w:rsid w:val="00842B61"/>
    <w:rsid w:val="00843199"/>
    <w:rsid w:val="008432C0"/>
    <w:rsid w:val="008436B5"/>
    <w:rsid w:val="00844E6E"/>
    <w:rsid w:val="00845521"/>
    <w:rsid w:val="00845CA3"/>
    <w:rsid w:val="00846D07"/>
    <w:rsid w:val="00847176"/>
    <w:rsid w:val="00847BAC"/>
    <w:rsid w:val="00850543"/>
    <w:rsid w:val="008505D1"/>
    <w:rsid w:val="00851058"/>
    <w:rsid w:val="008521AA"/>
    <w:rsid w:val="00852873"/>
    <w:rsid w:val="008539F7"/>
    <w:rsid w:val="008545B3"/>
    <w:rsid w:val="00856F7C"/>
    <w:rsid w:val="00860160"/>
    <w:rsid w:val="00862B27"/>
    <w:rsid w:val="0086307E"/>
    <w:rsid w:val="00863C07"/>
    <w:rsid w:val="00863E84"/>
    <w:rsid w:val="0086449E"/>
    <w:rsid w:val="0086462B"/>
    <w:rsid w:val="008653AD"/>
    <w:rsid w:val="008654EC"/>
    <w:rsid w:val="008657AD"/>
    <w:rsid w:val="00866281"/>
    <w:rsid w:val="00866477"/>
    <w:rsid w:val="00870DCC"/>
    <w:rsid w:val="00872A96"/>
    <w:rsid w:val="00872BF1"/>
    <w:rsid w:val="00872C47"/>
    <w:rsid w:val="008736FB"/>
    <w:rsid w:val="00873963"/>
    <w:rsid w:val="00873E75"/>
    <w:rsid w:val="00874303"/>
    <w:rsid w:val="00874F29"/>
    <w:rsid w:val="008758B1"/>
    <w:rsid w:val="00876B0B"/>
    <w:rsid w:val="008772C4"/>
    <w:rsid w:val="008775EB"/>
    <w:rsid w:val="00877D08"/>
    <w:rsid w:val="008806AC"/>
    <w:rsid w:val="00880E9E"/>
    <w:rsid w:val="00881798"/>
    <w:rsid w:val="0088233B"/>
    <w:rsid w:val="00882AE9"/>
    <w:rsid w:val="008831CC"/>
    <w:rsid w:val="00883334"/>
    <w:rsid w:val="008833BC"/>
    <w:rsid w:val="008844AC"/>
    <w:rsid w:val="0088454D"/>
    <w:rsid w:val="0088553C"/>
    <w:rsid w:val="00885954"/>
    <w:rsid w:val="00886506"/>
    <w:rsid w:val="00886C99"/>
    <w:rsid w:val="00886D20"/>
    <w:rsid w:val="0088722C"/>
    <w:rsid w:val="0089053F"/>
    <w:rsid w:val="00892F01"/>
    <w:rsid w:val="00893CBC"/>
    <w:rsid w:val="008949BD"/>
    <w:rsid w:val="00894DE8"/>
    <w:rsid w:val="00894E5A"/>
    <w:rsid w:val="00894FA7"/>
    <w:rsid w:val="00895185"/>
    <w:rsid w:val="00895682"/>
    <w:rsid w:val="00896C72"/>
    <w:rsid w:val="008979EE"/>
    <w:rsid w:val="008A0A95"/>
    <w:rsid w:val="008A11B6"/>
    <w:rsid w:val="008A1A3B"/>
    <w:rsid w:val="008A795B"/>
    <w:rsid w:val="008A7C1C"/>
    <w:rsid w:val="008A7F67"/>
    <w:rsid w:val="008B049E"/>
    <w:rsid w:val="008B119F"/>
    <w:rsid w:val="008B223A"/>
    <w:rsid w:val="008B228E"/>
    <w:rsid w:val="008B3269"/>
    <w:rsid w:val="008B4DBF"/>
    <w:rsid w:val="008B5B68"/>
    <w:rsid w:val="008B5C66"/>
    <w:rsid w:val="008B5CA7"/>
    <w:rsid w:val="008B6595"/>
    <w:rsid w:val="008B6822"/>
    <w:rsid w:val="008B699A"/>
    <w:rsid w:val="008B71DB"/>
    <w:rsid w:val="008B7C80"/>
    <w:rsid w:val="008B7D6A"/>
    <w:rsid w:val="008C02E1"/>
    <w:rsid w:val="008C041D"/>
    <w:rsid w:val="008C0ECA"/>
    <w:rsid w:val="008C0F1F"/>
    <w:rsid w:val="008C41FF"/>
    <w:rsid w:val="008C4237"/>
    <w:rsid w:val="008C48EE"/>
    <w:rsid w:val="008C4B7F"/>
    <w:rsid w:val="008C5BC9"/>
    <w:rsid w:val="008C75F4"/>
    <w:rsid w:val="008C7B96"/>
    <w:rsid w:val="008C7E0F"/>
    <w:rsid w:val="008C7E82"/>
    <w:rsid w:val="008D09DF"/>
    <w:rsid w:val="008D20BA"/>
    <w:rsid w:val="008D23A1"/>
    <w:rsid w:val="008D25C1"/>
    <w:rsid w:val="008D26DE"/>
    <w:rsid w:val="008D3303"/>
    <w:rsid w:val="008D6CB1"/>
    <w:rsid w:val="008D7AD4"/>
    <w:rsid w:val="008E12A4"/>
    <w:rsid w:val="008E1E38"/>
    <w:rsid w:val="008E27AE"/>
    <w:rsid w:val="008E40A7"/>
    <w:rsid w:val="008E4270"/>
    <w:rsid w:val="008E4798"/>
    <w:rsid w:val="008E6216"/>
    <w:rsid w:val="008E6252"/>
    <w:rsid w:val="008F0E35"/>
    <w:rsid w:val="008F1534"/>
    <w:rsid w:val="008F1DC6"/>
    <w:rsid w:val="008F1EE2"/>
    <w:rsid w:val="008F2239"/>
    <w:rsid w:val="008F2978"/>
    <w:rsid w:val="008F3589"/>
    <w:rsid w:val="008F4213"/>
    <w:rsid w:val="008F4416"/>
    <w:rsid w:val="008F4763"/>
    <w:rsid w:val="008F4A55"/>
    <w:rsid w:val="008F68CC"/>
    <w:rsid w:val="008F68E4"/>
    <w:rsid w:val="008F7097"/>
    <w:rsid w:val="008F77BC"/>
    <w:rsid w:val="008F7A77"/>
    <w:rsid w:val="009004A1"/>
    <w:rsid w:val="00900A5F"/>
    <w:rsid w:val="009014F9"/>
    <w:rsid w:val="00901C40"/>
    <w:rsid w:val="00901DAD"/>
    <w:rsid w:val="00903C33"/>
    <w:rsid w:val="00904588"/>
    <w:rsid w:val="00904BB8"/>
    <w:rsid w:val="00905F86"/>
    <w:rsid w:val="009072F2"/>
    <w:rsid w:val="009075D0"/>
    <w:rsid w:val="0091072A"/>
    <w:rsid w:val="00910D30"/>
    <w:rsid w:val="00911352"/>
    <w:rsid w:val="0091136B"/>
    <w:rsid w:val="00911488"/>
    <w:rsid w:val="00912E47"/>
    <w:rsid w:val="009148DB"/>
    <w:rsid w:val="00915468"/>
    <w:rsid w:val="0091578A"/>
    <w:rsid w:val="0091585B"/>
    <w:rsid w:val="00915A2A"/>
    <w:rsid w:val="00915E70"/>
    <w:rsid w:val="009162CD"/>
    <w:rsid w:val="00920F9D"/>
    <w:rsid w:val="00921B5A"/>
    <w:rsid w:val="00922924"/>
    <w:rsid w:val="00923130"/>
    <w:rsid w:val="0092338E"/>
    <w:rsid w:val="00923841"/>
    <w:rsid w:val="00924008"/>
    <w:rsid w:val="00925026"/>
    <w:rsid w:val="009250DB"/>
    <w:rsid w:val="00925AF7"/>
    <w:rsid w:val="00925D62"/>
    <w:rsid w:val="0092607C"/>
    <w:rsid w:val="00926989"/>
    <w:rsid w:val="009278F2"/>
    <w:rsid w:val="00930155"/>
    <w:rsid w:val="00930A6B"/>
    <w:rsid w:val="009311C3"/>
    <w:rsid w:val="00931550"/>
    <w:rsid w:val="00932CD2"/>
    <w:rsid w:val="009330C8"/>
    <w:rsid w:val="00933185"/>
    <w:rsid w:val="0093463B"/>
    <w:rsid w:val="00934AC6"/>
    <w:rsid w:val="00934C54"/>
    <w:rsid w:val="0093501B"/>
    <w:rsid w:val="00935F75"/>
    <w:rsid w:val="00937023"/>
    <w:rsid w:val="00937175"/>
    <w:rsid w:val="0094198B"/>
    <w:rsid w:val="00942AB9"/>
    <w:rsid w:val="00944CA5"/>
    <w:rsid w:val="00945235"/>
    <w:rsid w:val="00946761"/>
    <w:rsid w:val="00947A00"/>
    <w:rsid w:val="00950A1B"/>
    <w:rsid w:val="009510C0"/>
    <w:rsid w:val="00952AC1"/>
    <w:rsid w:val="00952B69"/>
    <w:rsid w:val="009557B1"/>
    <w:rsid w:val="009558D1"/>
    <w:rsid w:val="00956FC6"/>
    <w:rsid w:val="00960B89"/>
    <w:rsid w:val="00961773"/>
    <w:rsid w:val="00961B1E"/>
    <w:rsid w:val="0096272B"/>
    <w:rsid w:val="00964179"/>
    <w:rsid w:val="009667E4"/>
    <w:rsid w:val="00966844"/>
    <w:rsid w:val="00966EC8"/>
    <w:rsid w:val="009671FA"/>
    <w:rsid w:val="009675F9"/>
    <w:rsid w:val="00967807"/>
    <w:rsid w:val="00967BAA"/>
    <w:rsid w:val="009715F0"/>
    <w:rsid w:val="00972372"/>
    <w:rsid w:val="00973582"/>
    <w:rsid w:val="009737A2"/>
    <w:rsid w:val="0097380E"/>
    <w:rsid w:val="00974478"/>
    <w:rsid w:val="00975737"/>
    <w:rsid w:val="00976D32"/>
    <w:rsid w:val="009807F6"/>
    <w:rsid w:val="00980D62"/>
    <w:rsid w:val="00981370"/>
    <w:rsid w:val="00981D06"/>
    <w:rsid w:val="00982237"/>
    <w:rsid w:val="00982635"/>
    <w:rsid w:val="009831D6"/>
    <w:rsid w:val="00983C63"/>
    <w:rsid w:val="00984668"/>
    <w:rsid w:val="0098569D"/>
    <w:rsid w:val="009876DC"/>
    <w:rsid w:val="00990442"/>
    <w:rsid w:val="009918DB"/>
    <w:rsid w:val="00992E5E"/>
    <w:rsid w:val="0099382A"/>
    <w:rsid w:val="009958DC"/>
    <w:rsid w:val="00995AD2"/>
    <w:rsid w:val="00997486"/>
    <w:rsid w:val="00997935"/>
    <w:rsid w:val="009A000B"/>
    <w:rsid w:val="009A1843"/>
    <w:rsid w:val="009A1C98"/>
    <w:rsid w:val="009A20EE"/>
    <w:rsid w:val="009A2DD3"/>
    <w:rsid w:val="009A3069"/>
    <w:rsid w:val="009A390A"/>
    <w:rsid w:val="009A3DF5"/>
    <w:rsid w:val="009A5F8F"/>
    <w:rsid w:val="009A69E3"/>
    <w:rsid w:val="009A6F13"/>
    <w:rsid w:val="009B1B52"/>
    <w:rsid w:val="009B1C4E"/>
    <w:rsid w:val="009B26AB"/>
    <w:rsid w:val="009B2B4D"/>
    <w:rsid w:val="009B2EFF"/>
    <w:rsid w:val="009B32A0"/>
    <w:rsid w:val="009B333D"/>
    <w:rsid w:val="009B3349"/>
    <w:rsid w:val="009B3533"/>
    <w:rsid w:val="009B6C0E"/>
    <w:rsid w:val="009B6FA6"/>
    <w:rsid w:val="009B765E"/>
    <w:rsid w:val="009C1BD4"/>
    <w:rsid w:val="009C1D2E"/>
    <w:rsid w:val="009C2918"/>
    <w:rsid w:val="009C2F86"/>
    <w:rsid w:val="009C433C"/>
    <w:rsid w:val="009C4A0C"/>
    <w:rsid w:val="009C4C7E"/>
    <w:rsid w:val="009C4E24"/>
    <w:rsid w:val="009C6039"/>
    <w:rsid w:val="009C6FCF"/>
    <w:rsid w:val="009C7138"/>
    <w:rsid w:val="009D0734"/>
    <w:rsid w:val="009D0D4F"/>
    <w:rsid w:val="009D0EE1"/>
    <w:rsid w:val="009D1073"/>
    <w:rsid w:val="009D126E"/>
    <w:rsid w:val="009D16E6"/>
    <w:rsid w:val="009D1D58"/>
    <w:rsid w:val="009D2F52"/>
    <w:rsid w:val="009D3B7E"/>
    <w:rsid w:val="009D46C3"/>
    <w:rsid w:val="009D4C57"/>
    <w:rsid w:val="009D691E"/>
    <w:rsid w:val="009D6EBB"/>
    <w:rsid w:val="009E0365"/>
    <w:rsid w:val="009E1BAB"/>
    <w:rsid w:val="009E32BD"/>
    <w:rsid w:val="009E36EE"/>
    <w:rsid w:val="009E3745"/>
    <w:rsid w:val="009E37B5"/>
    <w:rsid w:val="009E3AD6"/>
    <w:rsid w:val="009E5AD9"/>
    <w:rsid w:val="009E5D7C"/>
    <w:rsid w:val="009E6816"/>
    <w:rsid w:val="009E6E90"/>
    <w:rsid w:val="009E7150"/>
    <w:rsid w:val="009F0138"/>
    <w:rsid w:val="009F2AAA"/>
    <w:rsid w:val="009F3286"/>
    <w:rsid w:val="009F3A08"/>
    <w:rsid w:val="009F4891"/>
    <w:rsid w:val="009F6E2E"/>
    <w:rsid w:val="00A00090"/>
    <w:rsid w:val="00A01E7B"/>
    <w:rsid w:val="00A040ED"/>
    <w:rsid w:val="00A06224"/>
    <w:rsid w:val="00A065B4"/>
    <w:rsid w:val="00A068CE"/>
    <w:rsid w:val="00A06D40"/>
    <w:rsid w:val="00A070A2"/>
    <w:rsid w:val="00A07171"/>
    <w:rsid w:val="00A105A7"/>
    <w:rsid w:val="00A106FB"/>
    <w:rsid w:val="00A11EAF"/>
    <w:rsid w:val="00A12011"/>
    <w:rsid w:val="00A12AD1"/>
    <w:rsid w:val="00A14B5A"/>
    <w:rsid w:val="00A16359"/>
    <w:rsid w:val="00A164C1"/>
    <w:rsid w:val="00A176DF"/>
    <w:rsid w:val="00A2016C"/>
    <w:rsid w:val="00A202A1"/>
    <w:rsid w:val="00A2053F"/>
    <w:rsid w:val="00A2093B"/>
    <w:rsid w:val="00A21654"/>
    <w:rsid w:val="00A22252"/>
    <w:rsid w:val="00A22D24"/>
    <w:rsid w:val="00A2386E"/>
    <w:rsid w:val="00A24324"/>
    <w:rsid w:val="00A25DC8"/>
    <w:rsid w:val="00A25F34"/>
    <w:rsid w:val="00A267CF"/>
    <w:rsid w:val="00A27689"/>
    <w:rsid w:val="00A30132"/>
    <w:rsid w:val="00A31225"/>
    <w:rsid w:val="00A32229"/>
    <w:rsid w:val="00A325B4"/>
    <w:rsid w:val="00A33266"/>
    <w:rsid w:val="00A3374B"/>
    <w:rsid w:val="00A33A31"/>
    <w:rsid w:val="00A33A78"/>
    <w:rsid w:val="00A35568"/>
    <w:rsid w:val="00A359CB"/>
    <w:rsid w:val="00A37185"/>
    <w:rsid w:val="00A404DF"/>
    <w:rsid w:val="00A40577"/>
    <w:rsid w:val="00A40A66"/>
    <w:rsid w:val="00A42B91"/>
    <w:rsid w:val="00A42D24"/>
    <w:rsid w:val="00A431EF"/>
    <w:rsid w:val="00A46C4E"/>
    <w:rsid w:val="00A475DA"/>
    <w:rsid w:val="00A47ED1"/>
    <w:rsid w:val="00A501E0"/>
    <w:rsid w:val="00A51376"/>
    <w:rsid w:val="00A51A1B"/>
    <w:rsid w:val="00A546EA"/>
    <w:rsid w:val="00A54761"/>
    <w:rsid w:val="00A551A5"/>
    <w:rsid w:val="00A559A5"/>
    <w:rsid w:val="00A57114"/>
    <w:rsid w:val="00A57768"/>
    <w:rsid w:val="00A5779E"/>
    <w:rsid w:val="00A60111"/>
    <w:rsid w:val="00A60979"/>
    <w:rsid w:val="00A60AD0"/>
    <w:rsid w:val="00A60C74"/>
    <w:rsid w:val="00A611F8"/>
    <w:rsid w:val="00A6121D"/>
    <w:rsid w:val="00A619A3"/>
    <w:rsid w:val="00A62304"/>
    <w:rsid w:val="00A628F5"/>
    <w:rsid w:val="00A63A43"/>
    <w:rsid w:val="00A64E10"/>
    <w:rsid w:val="00A65333"/>
    <w:rsid w:val="00A65908"/>
    <w:rsid w:val="00A65B17"/>
    <w:rsid w:val="00A66276"/>
    <w:rsid w:val="00A66574"/>
    <w:rsid w:val="00A66CAB"/>
    <w:rsid w:val="00A670FF"/>
    <w:rsid w:val="00A71685"/>
    <w:rsid w:val="00A71E84"/>
    <w:rsid w:val="00A71FD8"/>
    <w:rsid w:val="00A72E02"/>
    <w:rsid w:val="00A73B1B"/>
    <w:rsid w:val="00A73B42"/>
    <w:rsid w:val="00A73F90"/>
    <w:rsid w:val="00A747D0"/>
    <w:rsid w:val="00A756A8"/>
    <w:rsid w:val="00A75D43"/>
    <w:rsid w:val="00A7623A"/>
    <w:rsid w:val="00A76684"/>
    <w:rsid w:val="00A7733C"/>
    <w:rsid w:val="00A77940"/>
    <w:rsid w:val="00A80520"/>
    <w:rsid w:val="00A8116C"/>
    <w:rsid w:val="00A817D4"/>
    <w:rsid w:val="00A81971"/>
    <w:rsid w:val="00A840F1"/>
    <w:rsid w:val="00A84CA4"/>
    <w:rsid w:val="00A850EA"/>
    <w:rsid w:val="00A876A0"/>
    <w:rsid w:val="00A879D4"/>
    <w:rsid w:val="00A90517"/>
    <w:rsid w:val="00A9333D"/>
    <w:rsid w:val="00A93FCB"/>
    <w:rsid w:val="00A94C09"/>
    <w:rsid w:val="00A94ED4"/>
    <w:rsid w:val="00A96B4C"/>
    <w:rsid w:val="00AA086E"/>
    <w:rsid w:val="00AA0C90"/>
    <w:rsid w:val="00AA0D7E"/>
    <w:rsid w:val="00AA2021"/>
    <w:rsid w:val="00AA209B"/>
    <w:rsid w:val="00AA2D16"/>
    <w:rsid w:val="00AA2DC9"/>
    <w:rsid w:val="00AA3588"/>
    <w:rsid w:val="00AA3A86"/>
    <w:rsid w:val="00AA3B84"/>
    <w:rsid w:val="00AA47FC"/>
    <w:rsid w:val="00AA49BC"/>
    <w:rsid w:val="00AA4BC1"/>
    <w:rsid w:val="00AA52C1"/>
    <w:rsid w:val="00AA75E7"/>
    <w:rsid w:val="00AB075E"/>
    <w:rsid w:val="00AB2ADD"/>
    <w:rsid w:val="00AB5B63"/>
    <w:rsid w:val="00AB5CEC"/>
    <w:rsid w:val="00AB7168"/>
    <w:rsid w:val="00AC2868"/>
    <w:rsid w:val="00AC37B1"/>
    <w:rsid w:val="00AC55DD"/>
    <w:rsid w:val="00AC5D61"/>
    <w:rsid w:val="00AC7B70"/>
    <w:rsid w:val="00AD04AF"/>
    <w:rsid w:val="00AD0733"/>
    <w:rsid w:val="00AD0A6F"/>
    <w:rsid w:val="00AD1844"/>
    <w:rsid w:val="00AD2284"/>
    <w:rsid w:val="00AD29F6"/>
    <w:rsid w:val="00AD3FB8"/>
    <w:rsid w:val="00AD4552"/>
    <w:rsid w:val="00AD5C33"/>
    <w:rsid w:val="00AD645F"/>
    <w:rsid w:val="00AD68F2"/>
    <w:rsid w:val="00AD748D"/>
    <w:rsid w:val="00AD7A6B"/>
    <w:rsid w:val="00AD7EC8"/>
    <w:rsid w:val="00AE1FB2"/>
    <w:rsid w:val="00AE287A"/>
    <w:rsid w:val="00AE3AC4"/>
    <w:rsid w:val="00AE447D"/>
    <w:rsid w:val="00AE49D0"/>
    <w:rsid w:val="00AE6BC1"/>
    <w:rsid w:val="00AF0F5F"/>
    <w:rsid w:val="00AF16C3"/>
    <w:rsid w:val="00AF17C5"/>
    <w:rsid w:val="00AF1B9E"/>
    <w:rsid w:val="00AF516B"/>
    <w:rsid w:val="00AF6724"/>
    <w:rsid w:val="00AF75FC"/>
    <w:rsid w:val="00B00231"/>
    <w:rsid w:val="00B00EFF"/>
    <w:rsid w:val="00B02573"/>
    <w:rsid w:val="00B04470"/>
    <w:rsid w:val="00B06507"/>
    <w:rsid w:val="00B1047E"/>
    <w:rsid w:val="00B1106B"/>
    <w:rsid w:val="00B1123D"/>
    <w:rsid w:val="00B1244B"/>
    <w:rsid w:val="00B132F4"/>
    <w:rsid w:val="00B145B0"/>
    <w:rsid w:val="00B1570D"/>
    <w:rsid w:val="00B1739A"/>
    <w:rsid w:val="00B1766F"/>
    <w:rsid w:val="00B176C4"/>
    <w:rsid w:val="00B20355"/>
    <w:rsid w:val="00B20ED4"/>
    <w:rsid w:val="00B21DF7"/>
    <w:rsid w:val="00B238B3"/>
    <w:rsid w:val="00B241C2"/>
    <w:rsid w:val="00B2447F"/>
    <w:rsid w:val="00B24CA0"/>
    <w:rsid w:val="00B26434"/>
    <w:rsid w:val="00B2664B"/>
    <w:rsid w:val="00B269B3"/>
    <w:rsid w:val="00B27BF2"/>
    <w:rsid w:val="00B27E6A"/>
    <w:rsid w:val="00B3028F"/>
    <w:rsid w:val="00B30A0D"/>
    <w:rsid w:val="00B316E4"/>
    <w:rsid w:val="00B3202E"/>
    <w:rsid w:val="00B32744"/>
    <w:rsid w:val="00B330A8"/>
    <w:rsid w:val="00B33EAE"/>
    <w:rsid w:val="00B34C90"/>
    <w:rsid w:val="00B35104"/>
    <w:rsid w:val="00B35164"/>
    <w:rsid w:val="00B353AA"/>
    <w:rsid w:val="00B362AF"/>
    <w:rsid w:val="00B36EA2"/>
    <w:rsid w:val="00B4019A"/>
    <w:rsid w:val="00B401C2"/>
    <w:rsid w:val="00B41280"/>
    <w:rsid w:val="00B41D1E"/>
    <w:rsid w:val="00B4297F"/>
    <w:rsid w:val="00B42BA7"/>
    <w:rsid w:val="00B4322E"/>
    <w:rsid w:val="00B447EF"/>
    <w:rsid w:val="00B44EEC"/>
    <w:rsid w:val="00B45278"/>
    <w:rsid w:val="00B4545B"/>
    <w:rsid w:val="00B461A3"/>
    <w:rsid w:val="00B468D0"/>
    <w:rsid w:val="00B46D05"/>
    <w:rsid w:val="00B47FA4"/>
    <w:rsid w:val="00B51092"/>
    <w:rsid w:val="00B522C8"/>
    <w:rsid w:val="00B523B1"/>
    <w:rsid w:val="00B52768"/>
    <w:rsid w:val="00B53FB4"/>
    <w:rsid w:val="00B5435F"/>
    <w:rsid w:val="00B543F5"/>
    <w:rsid w:val="00B54D88"/>
    <w:rsid w:val="00B6032A"/>
    <w:rsid w:val="00B620E4"/>
    <w:rsid w:val="00B62E61"/>
    <w:rsid w:val="00B64289"/>
    <w:rsid w:val="00B64642"/>
    <w:rsid w:val="00B65FF7"/>
    <w:rsid w:val="00B675B3"/>
    <w:rsid w:val="00B679C2"/>
    <w:rsid w:val="00B705ED"/>
    <w:rsid w:val="00B70BF5"/>
    <w:rsid w:val="00B72A18"/>
    <w:rsid w:val="00B72A35"/>
    <w:rsid w:val="00B72ACB"/>
    <w:rsid w:val="00B72EED"/>
    <w:rsid w:val="00B7558F"/>
    <w:rsid w:val="00B755EE"/>
    <w:rsid w:val="00B75CED"/>
    <w:rsid w:val="00B75D40"/>
    <w:rsid w:val="00B772A7"/>
    <w:rsid w:val="00B77FF9"/>
    <w:rsid w:val="00B821F5"/>
    <w:rsid w:val="00B8332B"/>
    <w:rsid w:val="00B8468B"/>
    <w:rsid w:val="00B861FF"/>
    <w:rsid w:val="00B86830"/>
    <w:rsid w:val="00B86B85"/>
    <w:rsid w:val="00B91544"/>
    <w:rsid w:val="00B9173F"/>
    <w:rsid w:val="00B9193A"/>
    <w:rsid w:val="00B91DE2"/>
    <w:rsid w:val="00B92892"/>
    <w:rsid w:val="00B9380E"/>
    <w:rsid w:val="00B94E29"/>
    <w:rsid w:val="00B956D0"/>
    <w:rsid w:val="00B97020"/>
    <w:rsid w:val="00B97417"/>
    <w:rsid w:val="00BA030E"/>
    <w:rsid w:val="00BA1385"/>
    <w:rsid w:val="00BA1DAE"/>
    <w:rsid w:val="00BA1F56"/>
    <w:rsid w:val="00BA2A46"/>
    <w:rsid w:val="00BA2AEE"/>
    <w:rsid w:val="00BA3042"/>
    <w:rsid w:val="00BA3A12"/>
    <w:rsid w:val="00BA49F5"/>
    <w:rsid w:val="00BA4D74"/>
    <w:rsid w:val="00BA5AE0"/>
    <w:rsid w:val="00BA7443"/>
    <w:rsid w:val="00BB081B"/>
    <w:rsid w:val="00BB09E7"/>
    <w:rsid w:val="00BB0E5D"/>
    <w:rsid w:val="00BB44AD"/>
    <w:rsid w:val="00BB5644"/>
    <w:rsid w:val="00BB6516"/>
    <w:rsid w:val="00BB68D4"/>
    <w:rsid w:val="00BC09F8"/>
    <w:rsid w:val="00BC1B13"/>
    <w:rsid w:val="00BC1B36"/>
    <w:rsid w:val="00BC2041"/>
    <w:rsid w:val="00BC2949"/>
    <w:rsid w:val="00BC5632"/>
    <w:rsid w:val="00BC5FAA"/>
    <w:rsid w:val="00BC60D4"/>
    <w:rsid w:val="00BC6385"/>
    <w:rsid w:val="00BC76D8"/>
    <w:rsid w:val="00BC78BF"/>
    <w:rsid w:val="00BD0156"/>
    <w:rsid w:val="00BD049A"/>
    <w:rsid w:val="00BD0880"/>
    <w:rsid w:val="00BD144A"/>
    <w:rsid w:val="00BD17C3"/>
    <w:rsid w:val="00BD214D"/>
    <w:rsid w:val="00BD46FA"/>
    <w:rsid w:val="00BD4A10"/>
    <w:rsid w:val="00BD5F93"/>
    <w:rsid w:val="00BE1328"/>
    <w:rsid w:val="00BE1CEC"/>
    <w:rsid w:val="00BE214B"/>
    <w:rsid w:val="00BE2ED1"/>
    <w:rsid w:val="00BE5182"/>
    <w:rsid w:val="00BE5403"/>
    <w:rsid w:val="00BE54E1"/>
    <w:rsid w:val="00BE5FC3"/>
    <w:rsid w:val="00BE70CA"/>
    <w:rsid w:val="00BE74ED"/>
    <w:rsid w:val="00BF1FAB"/>
    <w:rsid w:val="00BF1FEA"/>
    <w:rsid w:val="00BF20B0"/>
    <w:rsid w:val="00BF338B"/>
    <w:rsid w:val="00BF43F5"/>
    <w:rsid w:val="00BF53B5"/>
    <w:rsid w:val="00BF6DA2"/>
    <w:rsid w:val="00BF7607"/>
    <w:rsid w:val="00BF7FAD"/>
    <w:rsid w:val="00C00959"/>
    <w:rsid w:val="00C01C70"/>
    <w:rsid w:val="00C02A97"/>
    <w:rsid w:val="00C03044"/>
    <w:rsid w:val="00C03536"/>
    <w:rsid w:val="00C03957"/>
    <w:rsid w:val="00C03B58"/>
    <w:rsid w:val="00C03BB3"/>
    <w:rsid w:val="00C04861"/>
    <w:rsid w:val="00C0665D"/>
    <w:rsid w:val="00C0690D"/>
    <w:rsid w:val="00C10496"/>
    <w:rsid w:val="00C1091D"/>
    <w:rsid w:val="00C1198C"/>
    <w:rsid w:val="00C1227F"/>
    <w:rsid w:val="00C133D1"/>
    <w:rsid w:val="00C13BD7"/>
    <w:rsid w:val="00C13F15"/>
    <w:rsid w:val="00C1585D"/>
    <w:rsid w:val="00C17563"/>
    <w:rsid w:val="00C17998"/>
    <w:rsid w:val="00C17D77"/>
    <w:rsid w:val="00C22033"/>
    <w:rsid w:val="00C225A6"/>
    <w:rsid w:val="00C233FA"/>
    <w:rsid w:val="00C26A3C"/>
    <w:rsid w:val="00C26A8B"/>
    <w:rsid w:val="00C273CA"/>
    <w:rsid w:val="00C27431"/>
    <w:rsid w:val="00C3217D"/>
    <w:rsid w:val="00C3313E"/>
    <w:rsid w:val="00C33C9F"/>
    <w:rsid w:val="00C33CBC"/>
    <w:rsid w:val="00C3440A"/>
    <w:rsid w:val="00C34C94"/>
    <w:rsid w:val="00C369D5"/>
    <w:rsid w:val="00C36DAA"/>
    <w:rsid w:val="00C37FA0"/>
    <w:rsid w:val="00C40303"/>
    <w:rsid w:val="00C41800"/>
    <w:rsid w:val="00C42EA0"/>
    <w:rsid w:val="00C434B8"/>
    <w:rsid w:val="00C43A12"/>
    <w:rsid w:val="00C442A5"/>
    <w:rsid w:val="00C46D95"/>
    <w:rsid w:val="00C46E06"/>
    <w:rsid w:val="00C47B90"/>
    <w:rsid w:val="00C5093B"/>
    <w:rsid w:val="00C51B46"/>
    <w:rsid w:val="00C522F9"/>
    <w:rsid w:val="00C52F91"/>
    <w:rsid w:val="00C54569"/>
    <w:rsid w:val="00C54A22"/>
    <w:rsid w:val="00C57CB7"/>
    <w:rsid w:val="00C60007"/>
    <w:rsid w:val="00C606CD"/>
    <w:rsid w:val="00C60B95"/>
    <w:rsid w:val="00C60BA1"/>
    <w:rsid w:val="00C61297"/>
    <w:rsid w:val="00C61BD5"/>
    <w:rsid w:val="00C61EB5"/>
    <w:rsid w:val="00C62DC9"/>
    <w:rsid w:val="00C6317F"/>
    <w:rsid w:val="00C63745"/>
    <w:rsid w:val="00C63E2A"/>
    <w:rsid w:val="00C6409D"/>
    <w:rsid w:val="00C644AD"/>
    <w:rsid w:val="00C64F62"/>
    <w:rsid w:val="00C67114"/>
    <w:rsid w:val="00C67F26"/>
    <w:rsid w:val="00C70BD4"/>
    <w:rsid w:val="00C72BCB"/>
    <w:rsid w:val="00C73477"/>
    <w:rsid w:val="00C73689"/>
    <w:rsid w:val="00C74378"/>
    <w:rsid w:val="00C744E9"/>
    <w:rsid w:val="00C74B02"/>
    <w:rsid w:val="00C779C4"/>
    <w:rsid w:val="00C80330"/>
    <w:rsid w:val="00C80CB9"/>
    <w:rsid w:val="00C80D49"/>
    <w:rsid w:val="00C8165B"/>
    <w:rsid w:val="00C8235A"/>
    <w:rsid w:val="00C82B64"/>
    <w:rsid w:val="00C8375C"/>
    <w:rsid w:val="00C83BC7"/>
    <w:rsid w:val="00C85FE3"/>
    <w:rsid w:val="00C867A2"/>
    <w:rsid w:val="00C91A2A"/>
    <w:rsid w:val="00C9213A"/>
    <w:rsid w:val="00C92EBC"/>
    <w:rsid w:val="00C93850"/>
    <w:rsid w:val="00C94169"/>
    <w:rsid w:val="00C9712F"/>
    <w:rsid w:val="00C9733A"/>
    <w:rsid w:val="00CA133F"/>
    <w:rsid w:val="00CA13C3"/>
    <w:rsid w:val="00CA18E9"/>
    <w:rsid w:val="00CA1FB1"/>
    <w:rsid w:val="00CA208F"/>
    <w:rsid w:val="00CA267F"/>
    <w:rsid w:val="00CA3651"/>
    <w:rsid w:val="00CA38EF"/>
    <w:rsid w:val="00CA3953"/>
    <w:rsid w:val="00CA49AF"/>
    <w:rsid w:val="00CA51F8"/>
    <w:rsid w:val="00CA5299"/>
    <w:rsid w:val="00CA52D8"/>
    <w:rsid w:val="00CA607F"/>
    <w:rsid w:val="00CA65A8"/>
    <w:rsid w:val="00CA67D0"/>
    <w:rsid w:val="00CA688D"/>
    <w:rsid w:val="00CA7CDD"/>
    <w:rsid w:val="00CB06BE"/>
    <w:rsid w:val="00CB09F2"/>
    <w:rsid w:val="00CB0B5B"/>
    <w:rsid w:val="00CB1628"/>
    <w:rsid w:val="00CB4067"/>
    <w:rsid w:val="00CB4B71"/>
    <w:rsid w:val="00CB5219"/>
    <w:rsid w:val="00CB5763"/>
    <w:rsid w:val="00CB5921"/>
    <w:rsid w:val="00CB6098"/>
    <w:rsid w:val="00CB635D"/>
    <w:rsid w:val="00CB677F"/>
    <w:rsid w:val="00CB6C3B"/>
    <w:rsid w:val="00CB7E80"/>
    <w:rsid w:val="00CB7EBF"/>
    <w:rsid w:val="00CC077C"/>
    <w:rsid w:val="00CC1598"/>
    <w:rsid w:val="00CC18FE"/>
    <w:rsid w:val="00CC1EC9"/>
    <w:rsid w:val="00CC21AC"/>
    <w:rsid w:val="00CC35CA"/>
    <w:rsid w:val="00CC3659"/>
    <w:rsid w:val="00CC42FA"/>
    <w:rsid w:val="00CC43A9"/>
    <w:rsid w:val="00CC6462"/>
    <w:rsid w:val="00CC652A"/>
    <w:rsid w:val="00CC6A10"/>
    <w:rsid w:val="00CD0B6C"/>
    <w:rsid w:val="00CD0FAF"/>
    <w:rsid w:val="00CD1631"/>
    <w:rsid w:val="00CD2C12"/>
    <w:rsid w:val="00CD4652"/>
    <w:rsid w:val="00CD58AA"/>
    <w:rsid w:val="00CD60C7"/>
    <w:rsid w:val="00CD7E6E"/>
    <w:rsid w:val="00CE00CD"/>
    <w:rsid w:val="00CE19A9"/>
    <w:rsid w:val="00CE42BA"/>
    <w:rsid w:val="00CE5F24"/>
    <w:rsid w:val="00CF069D"/>
    <w:rsid w:val="00CF1C45"/>
    <w:rsid w:val="00CF23E0"/>
    <w:rsid w:val="00CF2707"/>
    <w:rsid w:val="00CF2B06"/>
    <w:rsid w:val="00CF2D79"/>
    <w:rsid w:val="00CF4972"/>
    <w:rsid w:val="00CF4BF7"/>
    <w:rsid w:val="00CF5E1A"/>
    <w:rsid w:val="00CF743B"/>
    <w:rsid w:val="00D00577"/>
    <w:rsid w:val="00D01C63"/>
    <w:rsid w:val="00D02009"/>
    <w:rsid w:val="00D032F2"/>
    <w:rsid w:val="00D03C47"/>
    <w:rsid w:val="00D058C8"/>
    <w:rsid w:val="00D05929"/>
    <w:rsid w:val="00D059F6"/>
    <w:rsid w:val="00D06060"/>
    <w:rsid w:val="00D065AC"/>
    <w:rsid w:val="00D075C4"/>
    <w:rsid w:val="00D10B4C"/>
    <w:rsid w:val="00D12AF7"/>
    <w:rsid w:val="00D12C0B"/>
    <w:rsid w:val="00D1335C"/>
    <w:rsid w:val="00D13A9D"/>
    <w:rsid w:val="00D153FC"/>
    <w:rsid w:val="00D15659"/>
    <w:rsid w:val="00D15B4F"/>
    <w:rsid w:val="00D15FF5"/>
    <w:rsid w:val="00D164CD"/>
    <w:rsid w:val="00D1670E"/>
    <w:rsid w:val="00D170EA"/>
    <w:rsid w:val="00D20CFE"/>
    <w:rsid w:val="00D20F55"/>
    <w:rsid w:val="00D22554"/>
    <w:rsid w:val="00D22769"/>
    <w:rsid w:val="00D22DAB"/>
    <w:rsid w:val="00D23043"/>
    <w:rsid w:val="00D25A2B"/>
    <w:rsid w:val="00D305D6"/>
    <w:rsid w:val="00D30CF7"/>
    <w:rsid w:val="00D317D1"/>
    <w:rsid w:val="00D31DD3"/>
    <w:rsid w:val="00D3291B"/>
    <w:rsid w:val="00D33B5E"/>
    <w:rsid w:val="00D33CCB"/>
    <w:rsid w:val="00D347FA"/>
    <w:rsid w:val="00D35E87"/>
    <w:rsid w:val="00D364DD"/>
    <w:rsid w:val="00D36BC8"/>
    <w:rsid w:val="00D37729"/>
    <w:rsid w:val="00D40C04"/>
    <w:rsid w:val="00D40D73"/>
    <w:rsid w:val="00D42585"/>
    <w:rsid w:val="00D440B4"/>
    <w:rsid w:val="00D44262"/>
    <w:rsid w:val="00D44599"/>
    <w:rsid w:val="00D4679C"/>
    <w:rsid w:val="00D50148"/>
    <w:rsid w:val="00D50A2C"/>
    <w:rsid w:val="00D50A5E"/>
    <w:rsid w:val="00D52491"/>
    <w:rsid w:val="00D53491"/>
    <w:rsid w:val="00D53524"/>
    <w:rsid w:val="00D540DD"/>
    <w:rsid w:val="00D54CBD"/>
    <w:rsid w:val="00D5559B"/>
    <w:rsid w:val="00D57828"/>
    <w:rsid w:val="00D600DE"/>
    <w:rsid w:val="00D60738"/>
    <w:rsid w:val="00D60DC0"/>
    <w:rsid w:val="00D617FF"/>
    <w:rsid w:val="00D622A0"/>
    <w:rsid w:val="00D6249E"/>
    <w:rsid w:val="00D63C92"/>
    <w:rsid w:val="00D649D3"/>
    <w:rsid w:val="00D65BCB"/>
    <w:rsid w:val="00D70077"/>
    <w:rsid w:val="00D70D03"/>
    <w:rsid w:val="00D70E38"/>
    <w:rsid w:val="00D71A16"/>
    <w:rsid w:val="00D72527"/>
    <w:rsid w:val="00D7377D"/>
    <w:rsid w:val="00D73B12"/>
    <w:rsid w:val="00D741F6"/>
    <w:rsid w:val="00D751DA"/>
    <w:rsid w:val="00D7689D"/>
    <w:rsid w:val="00D76CD3"/>
    <w:rsid w:val="00D775B1"/>
    <w:rsid w:val="00D803DE"/>
    <w:rsid w:val="00D82B7C"/>
    <w:rsid w:val="00D84919"/>
    <w:rsid w:val="00D84B7B"/>
    <w:rsid w:val="00D84E77"/>
    <w:rsid w:val="00D87167"/>
    <w:rsid w:val="00D872A1"/>
    <w:rsid w:val="00D876DE"/>
    <w:rsid w:val="00D87C3D"/>
    <w:rsid w:val="00D90E10"/>
    <w:rsid w:val="00D91A8A"/>
    <w:rsid w:val="00D91E7B"/>
    <w:rsid w:val="00D92136"/>
    <w:rsid w:val="00D94723"/>
    <w:rsid w:val="00D952B8"/>
    <w:rsid w:val="00D95B29"/>
    <w:rsid w:val="00D96754"/>
    <w:rsid w:val="00D9730A"/>
    <w:rsid w:val="00DA08FC"/>
    <w:rsid w:val="00DA0ED2"/>
    <w:rsid w:val="00DA1129"/>
    <w:rsid w:val="00DA2195"/>
    <w:rsid w:val="00DA2602"/>
    <w:rsid w:val="00DA271B"/>
    <w:rsid w:val="00DA2F47"/>
    <w:rsid w:val="00DA30E2"/>
    <w:rsid w:val="00DA4C71"/>
    <w:rsid w:val="00DA569E"/>
    <w:rsid w:val="00DA58D6"/>
    <w:rsid w:val="00DA5973"/>
    <w:rsid w:val="00DA5B0A"/>
    <w:rsid w:val="00DA62A8"/>
    <w:rsid w:val="00DA656E"/>
    <w:rsid w:val="00DA6BB0"/>
    <w:rsid w:val="00DA77DC"/>
    <w:rsid w:val="00DB0255"/>
    <w:rsid w:val="00DB191B"/>
    <w:rsid w:val="00DB23EA"/>
    <w:rsid w:val="00DB3F4D"/>
    <w:rsid w:val="00DB483B"/>
    <w:rsid w:val="00DB74E6"/>
    <w:rsid w:val="00DB77A9"/>
    <w:rsid w:val="00DC0D6E"/>
    <w:rsid w:val="00DC16B9"/>
    <w:rsid w:val="00DC1816"/>
    <w:rsid w:val="00DC1973"/>
    <w:rsid w:val="00DC249B"/>
    <w:rsid w:val="00DC2703"/>
    <w:rsid w:val="00DC2C0D"/>
    <w:rsid w:val="00DC3BEF"/>
    <w:rsid w:val="00DC3E1A"/>
    <w:rsid w:val="00DC3F75"/>
    <w:rsid w:val="00DC4BB9"/>
    <w:rsid w:val="00DC61DC"/>
    <w:rsid w:val="00DC7238"/>
    <w:rsid w:val="00DD1B95"/>
    <w:rsid w:val="00DD1CE1"/>
    <w:rsid w:val="00DD2091"/>
    <w:rsid w:val="00DD269A"/>
    <w:rsid w:val="00DD3F7C"/>
    <w:rsid w:val="00DD4185"/>
    <w:rsid w:val="00DD464F"/>
    <w:rsid w:val="00DD4D57"/>
    <w:rsid w:val="00DD5A19"/>
    <w:rsid w:val="00DD610F"/>
    <w:rsid w:val="00DD648C"/>
    <w:rsid w:val="00DD6E17"/>
    <w:rsid w:val="00DD7F67"/>
    <w:rsid w:val="00DE0958"/>
    <w:rsid w:val="00DE2E8A"/>
    <w:rsid w:val="00DE5540"/>
    <w:rsid w:val="00DE583C"/>
    <w:rsid w:val="00DE5EFE"/>
    <w:rsid w:val="00DE64CA"/>
    <w:rsid w:val="00DE654E"/>
    <w:rsid w:val="00DE678B"/>
    <w:rsid w:val="00DE7E94"/>
    <w:rsid w:val="00DF0AAB"/>
    <w:rsid w:val="00DF0FB6"/>
    <w:rsid w:val="00DF2930"/>
    <w:rsid w:val="00DF2ADD"/>
    <w:rsid w:val="00DF2AFE"/>
    <w:rsid w:val="00DF2CE9"/>
    <w:rsid w:val="00DF3D9E"/>
    <w:rsid w:val="00DF3E1E"/>
    <w:rsid w:val="00DF4311"/>
    <w:rsid w:val="00DF6E0C"/>
    <w:rsid w:val="00E0019A"/>
    <w:rsid w:val="00E002AB"/>
    <w:rsid w:val="00E00727"/>
    <w:rsid w:val="00E010DB"/>
    <w:rsid w:val="00E02064"/>
    <w:rsid w:val="00E02260"/>
    <w:rsid w:val="00E02911"/>
    <w:rsid w:val="00E02FBB"/>
    <w:rsid w:val="00E039CD"/>
    <w:rsid w:val="00E03AD7"/>
    <w:rsid w:val="00E0423D"/>
    <w:rsid w:val="00E042C7"/>
    <w:rsid w:val="00E05F94"/>
    <w:rsid w:val="00E06A37"/>
    <w:rsid w:val="00E10FE3"/>
    <w:rsid w:val="00E11346"/>
    <w:rsid w:val="00E11CB2"/>
    <w:rsid w:val="00E11CFF"/>
    <w:rsid w:val="00E12C68"/>
    <w:rsid w:val="00E1430C"/>
    <w:rsid w:val="00E15379"/>
    <w:rsid w:val="00E16A5C"/>
    <w:rsid w:val="00E16E49"/>
    <w:rsid w:val="00E1775B"/>
    <w:rsid w:val="00E2024A"/>
    <w:rsid w:val="00E221C3"/>
    <w:rsid w:val="00E2354A"/>
    <w:rsid w:val="00E24722"/>
    <w:rsid w:val="00E24F1F"/>
    <w:rsid w:val="00E25405"/>
    <w:rsid w:val="00E25F84"/>
    <w:rsid w:val="00E26332"/>
    <w:rsid w:val="00E26FF7"/>
    <w:rsid w:val="00E27459"/>
    <w:rsid w:val="00E27905"/>
    <w:rsid w:val="00E27975"/>
    <w:rsid w:val="00E27CA9"/>
    <w:rsid w:val="00E27EFA"/>
    <w:rsid w:val="00E3089B"/>
    <w:rsid w:val="00E331A9"/>
    <w:rsid w:val="00E3418F"/>
    <w:rsid w:val="00E3454A"/>
    <w:rsid w:val="00E346B4"/>
    <w:rsid w:val="00E3478C"/>
    <w:rsid w:val="00E3488E"/>
    <w:rsid w:val="00E34E36"/>
    <w:rsid w:val="00E355F2"/>
    <w:rsid w:val="00E3627B"/>
    <w:rsid w:val="00E37245"/>
    <w:rsid w:val="00E402ED"/>
    <w:rsid w:val="00E412CF"/>
    <w:rsid w:val="00E41CBC"/>
    <w:rsid w:val="00E42B4B"/>
    <w:rsid w:val="00E42E67"/>
    <w:rsid w:val="00E445E2"/>
    <w:rsid w:val="00E44DAD"/>
    <w:rsid w:val="00E44E35"/>
    <w:rsid w:val="00E4589E"/>
    <w:rsid w:val="00E460BE"/>
    <w:rsid w:val="00E4626E"/>
    <w:rsid w:val="00E4665D"/>
    <w:rsid w:val="00E5032A"/>
    <w:rsid w:val="00E50C33"/>
    <w:rsid w:val="00E50F6A"/>
    <w:rsid w:val="00E513F3"/>
    <w:rsid w:val="00E52504"/>
    <w:rsid w:val="00E532F4"/>
    <w:rsid w:val="00E5427F"/>
    <w:rsid w:val="00E54737"/>
    <w:rsid w:val="00E55472"/>
    <w:rsid w:val="00E554C6"/>
    <w:rsid w:val="00E55AE2"/>
    <w:rsid w:val="00E55D70"/>
    <w:rsid w:val="00E56736"/>
    <w:rsid w:val="00E574A5"/>
    <w:rsid w:val="00E6169C"/>
    <w:rsid w:val="00E63169"/>
    <w:rsid w:val="00E63724"/>
    <w:rsid w:val="00E63D90"/>
    <w:rsid w:val="00E6472A"/>
    <w:rsid w:val="00E70BA1"/>
    <w:rsid w:val="00E70F21"/>
    <w:rsid w:val="00E728BE"/>
    <w:rsid w:val="00E72F2F"/>
    <w:rsid w:val="00E738A3"/>
    <w:rsid w:val="00E74A43"/>
    <w:rsid w:val="00E74FE5"/>
    <w:rsid w:val="00E75534"/>
    <w:rsid w:val="00E75BEA"/>
    <w:rsid w:val="00E77495"/>
    <w:rsid w:val="00E804DE"/>
    <w:rsid w:val="00E8103E"/>
    <w:rsid w:val="00E8235D"/>
    <w:rsid w:val="00E82B2A"/>
    <w:rsid w:val="00E82EE7"/>
    <w:rsid w:val="00E843D6"/>
    <w:rsid w:val="00E84C1F"/>
    <w:rsid w:val="00E85953"/>
    <w:rsid w:val="00E85F99"/>
    <w:rsid w:val="00E86034"/>
    <w:rsid w:val="00E86CAC"/>
    <w:rsid w:val="00E904AA"/>
    <w:rsid w:val="00E9054B"/>
    <w:rsid w:val="00E911A6"/>
    <w:rsid w:val="00E923B3"/>
    <w:rsid w:val="00E953CD"/>
    <w:rsid w:val="00E9608A"/>
    <w:rsid w:val="00E9669B"/>
    <w:rsid w:val="00E96EA5"/>
    <w:rsid w:val="00E979CA"/>
    <w:rsid w:val="00EA0F27"/>
    <w:rsid w:val="00EA0F5F"/>
    <w:rsid w:val="00EA1C1F"/>
    <w:rsid w:val="00EA25A9"/>
    <w:rsid w:val="00EA2DE3"/>
    <w:rsid w:val="00EA35D9"/>
    <w:rsid w:val="00EA3CCA"/>
    <w:rsid w:val="00EA5201"/>
    <w:rsid w:val="00EA5972"/>
    <w:rsid w:val="00EA65E9"/>
    <w:rsid w:val="00EB0D7E"/>
    <w:rsid w:val="00EB0F40"/>
    <w:rsid w:val="00EB13BF"/>
    <w:rsid w:val="00EB1803"/>
    <w:rsid w:val="00EB2B42"/>
    <w:rsid w:val="00EB4423"/>
    <w:rsid w:val="00EB44EA"/>
    <w:rsid w:val="00EB4C85"/>
    <w:rsid w:val="00EB502B"/>
    <w:rsid w:val="00EB5BB2"/>
    <w:rsid w:val="00EB7974"/>
    <w:rsid w:val="00EB7F8A"/>
    <w:rsid w:val="00EC5978"/>
    <w:rsid w:val="00EC5D9E"/>
    <w:rsid w:val="00EC67CF"/>
    <w:rsid w:val="00EC7DC8"/>
    <w:rsid w:val="00ED021B"/>
    <w:rsid w:val="00ED083E"/>
    <w:rsid w:val="00ED0ED0"/>
    <w:rsid w:val="00ED15BE"/>
    <w:rsid w:val="00ED2945"/>
    <w:rsid w:val="00ED2B16"/>
    <w:rsid w:val="00ED2B25"/>
    <w:rsid w:val="00ED42D8"/>
    <w:rsid w:val="00ED64E5"/>
    <w:rsid w:val="00ED6CCF"/>
    <w:rsid w:val="00ED723D"/>
    <w:rsid w:val="00ED78C9"/>
    <w:rsid w:val="00EE10D8"/>
    <w:rsid w:val="00EE19B2"/>
    <w:rsid w:val="00EE22D7"/>
    <w:rsid w:val="00EE4736"/>
    <w:rsid w:val="00EE4CFA"/>
    <w:rsid w:val="00EE6B57"/>
    <w:rsid w:val="00EE71D1"/>
    <w:rsid w:val="00EF13D0"/>
    <w:rsid w:val="00EF1798"/>
    <w:rsid w:val="00EF23C5"/>
    <w:rsid w:val="00EF25E6"/>
    <w:rsid w:val="00EF29F7"/>
    <w:rsid w:val="00EF30F8"/>
    <w:rsid w:val="00EF3550"/>
    <w:rsid w:val="00EF3FC5"/>
    <w:rsid w:val="00EF51BC"/>
    <w:rsid w:val="00EF520D"/>
    <w:rsid w:val="00EF5BC0"/>
    <w:rsid w:val="00EF7FC3"/>
    <w:rsid w:val="00F00379"/>
    <w:rsid w:val="00F00ABF"/>
    <w:rsid w:val="00F03630"/>
    <w:rsid w:val="00F03E1C"/>
    <w:rsid w:val="00F048B4"/>
    <w:rsid w:val="00F04CAA"/>
    <w:rsid w:val="00F05292"/>
    <w:rsid w:val="00F07674"/>
    <w:rsid w:val="00F07785"/>
    <w:rsid w:val="00F07CE2"/>
    <w:rsid w:val="00F1045C"/>
    <w:rsid w:val="00F13AE2"/>
    <w:rsid w:val="00F13CD5"/>
    <w:rsid w:val="00F15690"/>
    <w:rsid w:val="00F1772E"/>
    <w:rsid w:val="00F177E4"/>
    <w:rsid w:val="00F17B54"/>
    <w:rsid w:val="00F21275"/>
    <w:rsid w:val="00F2138E"/>
    <w:rsid w:val="00F213ED"/>
    <w:rsid w:val="00F21BA0"/>
    <w:rsid w:val="00F22748"/>
    <w:rsid w:val="00F22979"/>
    <w:rsid w:val="00F2325D"/>
    <w:rsid w:val="00F23774"/>
    <w:rsid w:val="00F23CD0"/>
    <w:rsid w:val="00F25735"/>
    <w:rsid w:val="00F25935"/>
    <w:rsid w:val="00F2647C"/>
    <w:rsid w:val="00F266C5"/>
    <w:rsid w:val="00F2672F"/>
    <w:rsid w:val="00F26B8C"/>
    <w:rsid w:val="00F2794C"/>
    <w:rsid w:val="00F27C87"/>
    <w:rsid w:val="00F305CB"/>
    <w:rsid w:val="00F3107D"/>
    <w:rsid w:val="00F32548"/>
    <w:rsid w:val="00F32C56"/>
    <w:rsid w:val="00F338AB"/>
    <w:rsid w:val="00F346F6"/>
    <w:rsid w:val="00F35FF3"/>
    <w:rsid w:val="00F362A5"/>
    <w:rsid w:val="00F368E3"/>
    <w:rsid w:val="00F40CD8"/>
    <w:rsid w:val="00F4112F"/>
    <w:rsid w:val="00F43142"/>
    <w:rsid w:val="00F431B1"/>
    <w:rsid w:val="00F43C1E"/>
    <w:rsid w:val="00F44714"/>
    <w:rsid w:val="00F44F22"/>
    <w:rsid w:val="00F45928"/>
    <w:rsid w:val="00F45EA6"/>
    <w:rsid w:val="00F45EBC"/>
    <w:rsid w:val="00F46906"/>
    <w:rsid w:val="00F46EC8"/>
    <w:rsid w:val="00F47434"/>
    <w:rsid w:val="00F4756B"/>
    <w:rsid w:val="00F475CC"/>
    <w:rsid w:val="00F50055"/>
    <w:rsid w:val="00F52565"/>
    <w:rsid w:val="00F53AAE"/>
    <w:rsid w:val="00F53BE3"/>
    <w:rsid w:val="00F54F02"/>
    <w:rsid w:val="00F55F45"/>
    <w:rsid w:val="00F56860"/>
    <w:rsid w:val="00F56CA9"/>
    <w:rsid w:val="00F56D89"/>
    <w:rsid w:val="00F570AD"/>
    <w:rsid w:val="00F57BE7"/>
    <w:rsid w:val="00F57D90"/>
    <w:rsid w:val="00F6006F"/>
    <w:rsid w:val="00F61FEB"/>
    <w:rsid w:val="00F620AA"/>
    <w:rsid w:val="00F62853"/>
    <w:rsid w:val="00F64C68"/>
    <w:rsid w:val="00F64E37"/>
    <w:rsid w:val="00F66A89"/>
    <w:rsid w:val="00F67AB9"/>
    <w:rsid w:val="00F7094D"/>
    <w:rsid w:val="00F71FC9"/>
    <w:rsid w:val="00F7478B"/>
    <w:rsid w:val="00F748C2"/>
    <w:rsid w:val="00F75132"/>
    <w:rsid w:val="00F756EA"/>
    <w:rsid w:val="00F7630E"/>
    <w:rsid w:val="00F76B95"/>
    <w:rsid w:val="00F76CA9"/>
    <w:rsid w:val="00F77430"/>
    <w:rsid w:val="00F77B97"/>
    <w:rsid w:val="00F77CDE"/>
    <w:rsid w:val="00F77D12"/>
    <w:rsid w:val="00F80611"/>
    <w:rsid w:val="00F80A69"/>
    <w:rsid w:val="00F80B29"/>
    <w:rsid w:val="00F81748"/>
    <w:rsid w:val="00F822B4"/>
    <w:rsid w:val="00F8285B"/>
    <w:rsid w:val="00F845C5"/>
    <w:rsid w:val="00F855EC"/>
    <w:rsid w:val="00F8575A"/>
    <w:rsid w:val="00F8657E"/>
    <w:rsid w:val="00F903F5"/>
    <w:rsid w:val="00F91BA4"/>
    <w:rsid w:val="00F930AB"/>
    <w:rsid w:val="00F95065"/>
    <w:rsid w:val="00F95699"/>
    <w:rsid w:val="00F95A17"/>
    <w:rsid w:val="00F95EFE"/>
    <w:rsid w:val="00F9675B"/>
    <w:rsid w:val="00FA0703"/>
    <w:rsid w:val="00FA1184"/>
    <w:rsid w:val="00FA126D"/>
    <w:rsid w:val="00FA2A50"/>
    <w:rsid w:val="00FA35AB"/>
    <w:rsid w:val="00FA48B9"/>
    <w:rsid w:val="00FA5971"/>
    <w:rsid w:val="00FA6B77"/>
    <w:rsid w:val="00FA7ECA"/>
    <w:rsid w:val="00FB180C"/>
    <w:rsid w:val="00FB3B7F"/>
    <w:rsid w:val="00FB4354"/>
    <w:rsid w:val="00FB5428"/>
    <w:rsid w:val="00FB5805"/>
    <w:rsid w:val="00FB5D6F"/>
    <w:rsid w:val="00FB73B8"/>
    <w:rsid w:val="00FB77F0"/>
    <w:rsid w:val="00FB7EA5"/>
    <w:rsid w:val="00FC01CC"/>
    <w:rsid w:val="00FC06DA"/>
    <w:rsid w:val="00FC09A4"/>
    <w:rsid w:val="00FC0DD1"/>
    <w:rsid w:val="00FC1950"/>
    <w:rsid w:val="00FC1F2A"/>
    <w:rsid w:val="00FC237D"/>
    <w:rsid w:val="00FC3427"/>
    <w:rsid w:val="00FC3AA4"/>
    <w:rsid w:val="00FC5048"/>
    <w:rsid w:val="00FC56BF"/>
    <w:rsid w:val="00FC635F"/>
    <w:rsid w:val="00FC71EB"/>
    <w:rsid w:val="00FC75DA"/>
    <w:rsid w:val="00FD0371"/>
    <w:rsid w:val="00FD0CCA"/>
    <w:rsid w:val="00FD1B57"/>
    <w:rsid w:val="00FD1E71"/>
    <w:rsid w:val="00FD2120"/>
    <w:rsid w:val="00FD28F2"/>
    <w:rsid w:val="00FD2D35"/>
    <w:rsid w:val="00FD300A"/>
    <w:rsid w:val="00FD30ED"/>
    <w:rsid w:val="00FD328D"/>
    <w:rsid w:val="00FD34FC"/>
    <w:rsid w:val="00FD39BB"/>
    <w:rsid w:val="00FD3CC0"/>
    <w:rsid w:val="00FD4A5E"/>
    <w:rsid w:val="00FD4CD9"/>
    <w:rsid w:val="00FD534F"/>
    <w:rsid w:val="00FD5AB8"/>
    <w:rsid w:val="00FD5B96"/>
    <w:rsid w:val="00FD7045"/>
    <w:rsid w:val="00FD7757"/>
    <w:rsid w:val="00FD79C7"/>
    <w:rsid w:val="00FE379D"/>
    <w:rsid w:val="00FE39DC"/>
    <w:rsid w:val="00FE4073"/>
    <w:rsid w:val="00FE5363"/>
    <w:rsid w:val="00FE5F53"/>
    <w:rsid w:val="00FE641C"/>
    <w:rsid w:val="00FE6829"/>
    <w:rsid w:val="00FE6CE5"/>
    <w:rsid w:val="00FE6DCE"/>
    <w:rsid w:val="00FE77FA"/>
    <w:rsid w:val="00FF01F5"/>
    <w:rsid w:val="00FF0F91"/>
    <w:rsid w:val="00FF1023"/>
    <w:rsid w:val="00FF2B71"/>
    <w:rsid w:val="00FF361F"/>
    <w:rsid w:val="00FF46AE"/>
    <w:rsid w:val="00FF564C"/>
    <w:rsid w:val="00FF5CC2"/>
    <w:rsid w:val="00FF642A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B04FD3"/>
  <w15:docId w15:val="{2EEB23D8-B4BB-4F43-9770-B58BBAC0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B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28F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11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2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0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0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D69"/>
  </w:style>
  <w:style w:type="paragraph" w:styleId="Footer">
    <w:name w:val="footer"/>
    <w:basedOn w:val="Normal"/>
    <w:link w:val="FooterChar"/>
    <w:uiPriority w:val="99"/>
    <w:unhideWhenUsed/>
    <w:rsid w:val="00430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D69"/>
  </w:style>
  <w:style w:type="paragraph" w:styleId="Title">
    <w:name w:val="Title"/>
    <w:basedOn w:val="Normal"/>
    <w:next w:val="Normal"/>
    <w:link w:val="TitleChar"/>
    <w:uiPriority w:val="10"/>
    <w:qFormat/>
    <w:rsid w:val="007359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359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C93850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95C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mhsa.gov/newsroom/press-announcements/20240829/biden-harris-administration-awards-81-point-3-million-funding-further-advance-presidents-unity-agend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7432A1-FCE5-439B-A3D7-7AD5EECDB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1747</Words>
  <Characters>9961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flora</dc:creator>
  <cp:lastModifiedBy>Clarke Ross</cp:lastModifiedBy>
  <cp:revision>2</cp:revision>
  <cp:lastPrinted>2024-11-14T21:11:00Z</cp:lastPrinted>
  <dcterms:created xsi:type="dcterms:W3CDTF">2024-11-14T21:59:00Z</dcterms:created>
  <dcterms:modified xsi:type="dcterms:W3CDTF">2024-11-14T21:59:00Z</dcterms:modified>
</cp:coreProperties>
</file>